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1"/>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5380"/>
        <w:gridCol w:w="3293"/>
        <w:gridCol w:w="3481"/>
      </w:tblGrid>
      <w:tr w:rsidR="00BD0431" w:rsidRPr="009844A2" w:rsidTr="00F52600">
        <w:trPr>
          <w:trHeight w:val="620"/>
        </w:trPr>
        <w:tc>
          <w:tcPr>
            <w:tcW w:w="2662" w:type="dxa"/>
            <w:tcBorders>
              <w:left w:val="nil"/>
              <w:right w:val="nil"/>
            </w:tcBorders>
            <w:vAlign w:val="center"/>
          </w:tcPr>
          <w:p w:rsidR="00BD0431" w:rsidRPr="009844A2" w:rsidRDefault="00BD0431" w:rsidP="009E464C">
            <w:pPr>
              <w:jc w:val="center"/>
              <w:rPr>
                <w:rFonts w:asciiTheme="minorHAnsi" w:hAnsiTheme="minorHAnsi"/>
                <w:b/>
                <w:sz w:val="18"/>
                <w:szCs w:val="18"/>
              </w:rPr>
            </w:pPr>
          </w:p>
        </w:tc>
        <w:tc>
          <w:tcPr>
            <w:tcW w:w="5380" w:type="dxa"/>
            <w:tcBorders>
              <w:left w:val="nil"/>
              <w:right w:val="nil"/>
            </w:tcBorders>
            <w:vAlign w:val="center"/>
          </w:tcPr>
          <w:p w:rsidR="00BD0431" w:rsidRDefault="00BD0431" w:rsidP="009E464C">
            <w:pPr>
              <w:jc w:val="center"/>
              <w:rPr>
                <w:rFonts w:asciiTheme="minorHAnsi" w:hAnsiTheme="minorHAnsi"/>
                <w:b/>
                <w:sz w:val="18"/>
                <w:szCs w:val="18"/>
              </w:rPr>
            </w:pPr>
          </w:p>
          <w:p w:rsidR="00BD0431" w:rsidRPr="009844A2" w:rsidRDefault="00BD0431" w:rsidP="009E464C">
            <w:pPr>
              <w:jc w:val="center"/>
              <w:rPr>
                <w:rFonts w:asciiTheme="minorHAnsi" w:hAnsiTheme="minorHAnsi"/>
                <w:b/>
                <w:sz w:val="18"/>
                <w:szCs w:val="18"/>
              </w:rPr>
            </w:pPr>
          </w:p>
        </w:tc>
        <w:tc>
          <w:tcPr>
            <w:tcW w:w="3293" w:type="dxa"/>
            <w:tcBorders>
              <w:left w:val="nil"/>
              <w:right w:val="nil"/>
            </w:tcBorders>
            <w:vAlign w:val="center"/>
          </w:tcPr>
          <w:p w:rsidR="00BD0431" w:rsidRPr="009844A2" w:rsidRDefault="00BD0431" w:rsidP="009E464C">
            <w:pPr>
              <w:jc w:val="center"/>
              <w:rPr>
                <w:rFonts w:asciiTheme="minorHAnsi" w:hAnsiTheme="minorHAnsi"/>
                <w:b/>
                <w:sz w:val="18"/>
                <w:szCs w:val="18"/>
              </w:rPr>
            </w:pPr>
          </w:p>
        </w:tc>
        <w:tc>
          <w:tcPr>
            <w:tcW w:w="3481" w:type="dxa"/>
            <w:tcBorders>
              <w:left w:val="nil"/>
              <w:right w:val="nil"/>
            </w:tcBorders>
            <w:vAlign w:val="center"/>
          </w:tcPr>
          <w:p w:rsidR="00BD0431" w:rsidRPr="009844A2" w:rsidRDefault="00BD0431" w:rsidP="009E464C">
            <w:pPr>
              <w:jc w:val="center"/>
              <w:rPr>
                <w:rFonts w:asciiTheme="minorHAnsi" w:hAnsiTheme="minorHAnsi"/>
                <w:b/>
                <w:sz w:val="18"/>
                <w:szCs w:val="18"/>
              </w:rPr>
            </w:pPr>
          </w:p>
        </w:tc>
      </w:tr>
      <w:tr w:rsidR="00B83CFF" w:rsidRPr="009844A2" w:rsidTr="00BD0431">
        <w:trPr>
          <w:trHeight w:val="85"/>
        </w:trPr>
        <w:tc>
          <w:tcPr>
            <w:tcW w:w="2662" w:type="dxa"/>
            <w:vAlign w:val="center"/>
          </w:tcPr>
          <w:p w:rsidR="00B83CFF" w:rsidRPr="009844A2" w:rsidRDefault="00B83CFF" w:rsidP="009E464C">
            <w:pPr>
              <w:jc w:val="center"/>
              <w:rPr>
                <w:rFonts w:asciiTheme="minorHAnsi" w:hAnsiTheme="minorHAnsi"/>
                <w:b/>
                <w:sz w:val="18"/>
                <w:szCs w:val="18"/>
              </w:rPr>
            </w:pPr>
          </w:p>
          <w:p w:rsidR="00B83CFF" w:rsidRPr="009844A2" w:rsidRDefault="00B83CFF" w:rsidP="009E464C">
            <w:pPr>
              <w:jc w:val="center"/>
              <w:rPr>
                <w:rFonts w:asciiTheme="minorHAnsi" w:hAnsiTheme="minorHAnsi"/>
                <w:b/>
                <w:sz w:val="18"/>
                <w:szCs w:val="18"/>
              </w:rPr>
            </w:pPr>
            <w:r w:rsidRPr="009844A2">
              <w:rPr>
                <w:rFonts w:asciiTheme="minorHAnsi" w:hAnsiTheme="minorHAnsi"/>
                <w:b/>
                <w:sz w:val="18"/>
                <w:szCs w:val="18"/>
              </w:rPr>
              <w:t>Training Activity</w:t>
            </w:r>
          </w:p>
          <w:p w:rsidR="00B83CFF" w:rsidRPr="009844A2" w:rsidRDefault="00B83CFF" w:rsidP="009E464C">
            <w:pPr>
              <w:jc w:val="center"/>
              <w:rPr>
                <w:rFonts w:asciiTheme="minorHAnsi" w:hAnsiTheme="minorHAnsi"/>
                <w:b/>
                <w:sz w:val="18"/>
                <w:szCs w:val="18"/>
              </w:rPr>
            </w:pPr>
          </w:p>
        </w:tc>
        <w:tc>
          <w:tcPr>
            <w:tcW w:w="5380" w:type="dxa"/>
            <w:vAlign w:val="center"/>
          </w:tcPr>
          <w:p w:rsidR="00B83CFF" w:rsidRPr="009844A2" w:rsidRDefault="00B83CFF" w:rsidP="009E464C">
            <w:pPr>
              <w:jc w:val="center"/>
              <w:rPr>
                <w:rFonts w:asciiTheme="minorHAnsi" w:hAnsiTheme="minorHAnsi"/>
                <w:b/>
                <w:sz w:val="18"/>
                <w:szCs w:val="18"/>
              </w:rPr>
            </w:pPr>
            <w:r w:rsidRPr="009844A2">
              <w:rPr>
                <w:rFonts w:asciiTheme="minorHAnsi" w:hAnsiTheme="minorHAnsi"/>
                <w:b/>
                <w:sz w:val="18"/>
                <w:szCs w:val="18"/>
              </w:rPr>
              <w:t>Local Requirements</w:t>
            </w:r>
          </w:p>
        </w:tc>
        <w:tc>
          <w:tcPr>
            <w:tcW w:w="3293" w:type="dxa"/>
            <w:vAlign w:val="center"/>
          </w:tcPr>
          <w:p w:rsidR="00B83CFF" w:rsidRPr="009844A2" w:rsidRDefault="00B83CFF" w:rsidP="009E464C">
            <w:pPr>
              <w:jc w:val="center"/>
              <w:rPr>
                <w:rFonts w:asciiTheme="minorHAnsi" w:hAnsiTheme="minorHAnsi"/>
                <w:b/>
                <w:sz w:val="18"/>
                <w:szCs w:val="18"/>
              </w:rPr>
            </w:pPr>
            <w:r w:rsidRPr="009844A2">
              <w:rPr>
                <w:rFonts w:asciiTheme="minorHAnsi" w:hAnsiTheme="minorHAnsi"/>
                <w:b/>
                <w:sz w:val="18"/>
                <w:szCs w:val="18"/>
              </w:rPr>
              <w:t>Training Time Limit</w:t>
            </w:r>
          </w:p>
        </w:tc>
        <w:tc>
          <w:tcPr>
            <w:tcW w:w="3481" w:type="dxa"/>
            <w:vAlign w:val="center"/>
          </w:tcPr>
          <w:p w:rsidR="00B83CFF" w:rsidRPr="009844A2" w:rsidRDefault="00B83CFF" w:rsidP="009E464C">
            <w:pPr>
              <w:jc w:val="center"/>
              <w:rPr>
                <w:rFonts w:asciiTheme="minorHAnsi" w:hAnsiTheme="minorHAnsi"/>
                <w:b/>
                <w:sz w:val="18"/>
                <w:szCs w:val="18"/>
              </w:rPr>
            </w:pPr>
            <w:r w:rsidRPr="009844A2">
              <w:rPr>
                <w:rFonts w:asciiTheme="minorHAnsi" w:hAnsiTheme="minorHAnsi"/>
                <w:b/>
                <w:sz w:val="18"/>
                <w:szCs w:val="18"/>
              </w:rPr>
              <w:t>Cost Limit (Lifetime)</w:t>
            </w:r>
          </w:p>
        </w:tc>
      </w:tr>
      <w:tr w:rsidR="00B83CFF" w:rsidRPr="009844A2" w:rsidTr="00BD0431">
        <w:trPr>
          <w:trHeight w:val="1295"/>
        </w:trPr>
        <w:tc>
          <w:tcPr>
            <w:tcW w:w="2662" w:type="dxa"/>
            <w:vAlign w:val="center"/>
          </w:tcPr>
          <w:p w:rsidR="00B83CFF" w:rsidRPr="009844A2" w:rsidRDefault="00B83CFF" w:rsidP="009E464C">
            <w:pPr>
              <w:pStyle w:val="Default"/>
              <w:rPr>
                <w:rFonts w:asciiTheme="minorHAnsi" w:hAnsiTheme="minorHAnsi"/>
                <w:b/>
                <w:sz w:val="18"/>
                <w:szCs w:val="20"/>
              </w:rPr>
            </w:pPr>
            <w:r w:rsidRPr="009844A2">
              <w:rPr>
                <w:rFonts w:asciiTheme="minorHAnsi" w:hAnsiTheme="minorHAnsi"/>
                <w:b/>
                <w:sz w:val="18"/>
                <w:szCs w:val="20"/>
              </w:rPr>
              <w:t xml:space="preserve">Targeted In Demand Industries for </w:t>
            </w:r>
            <w:r w:rsidR="00FF3655" w:rsidRPr="009844A2">
              <w:rPr>
                <w:rFonts w:asciiTheme="minorHAnsi" w:hAnsiTheme="minorHAnsi"/>
                <w:b/>
                <w:sz w:val="18"/>
                <w:szCs w:val="20"/>
              </w:rPr>
              <w:t xml:space="preserve">Greenville </w:t>
            </w:r>
            <w:r w:rsidR="009844A2">
              <w:rPr>
                <w:rFonts w:asciiTheme="minorHAnsi" w:hAnsiTheme="minorHAnsi"/>
                <w:b/>
                <w:sz w:val="18"/>
                <w:szCs w:val="20"/>
              </w:rPr>
              <w:t xml:space="preserve">County </w:t>
            </w:r>
            <w:r w:rsidR="00FF3655" w:rsidRPr="009844A2">
              <w:rPr>
                <w:rFonts w:asciiTheme="minorHAnsi" w:hAnsiTheme="minorHAnsi"/>
                <w:b/>
                <w:sz w:val="18"/>
                <w:szCs w:val="20"/>
              </w:rPr>
              <w:t>Workforce Development Board and the Upstate Workforce Board</w:t>
            </w:r>
          </w:p>
        </w:tc>
        <w:tc>
          <w:tcPr>
            <w:tcW w:w="5380" w:type="dxa"/>
            <w:vAlign w:val="center"/>
          </w:tcPr>
          <w:p w:rsidR="00B83CFF" w:rsidRPr="009844A2" w:rsidRDefault="00B83CFF" w:rsidP="009E464C">
            <w:pPr>
              <w:pStyle w:val="Default"/>
              <w:numPr>
                <w:ilvl w:val="0"/>
                <w:numId w:val="2"/>
              </w:numPr>
              <w:jc w:val="both"/>
              <w:rPr>
                <w:rFonts w:asciiTheme="minorHAnsi" w:hAnsiTheme="minorHAnsi"/>
                <w:sz w:val="18"/>
                <w:szCs w:val="18"/>
              </w:rPr>
            </w:pPr>
            <w:r w:rsidRPr="009844A2">
              <w:rPr>
                <w:rFonts w:asciiTheme="minorHAnsi" w:hAnsiTheme="minorHAnsi"/>
                <w:sz w:val="18"/>
                <w:szCs w:val="18"/>
              </w:rPr>
              <w:t xml:space="preserve">Advanced Manufacturing </w:t>
            </w:r>
          </w:p>
          <w:p w:rsidR="00B83CFF" w:rsidRPr="009844A2" w:rsidRDefault="00B83CFF" w:rsidP="009E464C">
            <w:pPr>
              <w:pStyle w:val="Default"/>
              <w:numPr>
                <w:ilvl w:val="0"/>
                <w:numId w:val="2"/>
              </w:numPr>
              <w:jc w:val="both"/>
              <w:rPr>
                <w:rFonts w:asciiTheme="minorHAnsi" w:hAnsiTheme="minorHAnsi"/>
                <w:sz w:val="18"/>
                <w:szCs w:val="18"/>
              </w:rPr>
            </w:pPr>
            <w:r w:rsidRPr="009844A2">
              <w:rPr>
                <w:rFonts w:asciiTheme="minorHAnsi" w:hAnsiTheme="minorHAnsi"/>
                <w:sz w:val="18"/>
                <w:szCs w:val="18"/>
              </w:rPr>
              <w:t xml:space="preserve">Healthcare </w:t>
            </w:r>
          </w:p>
          <w:p w:rsidR="007E529A" w:rsidRPr="009844A2" w:rsidRDefault="007E529A" w:rsidP="009E464C">
            <w:pPr>
              <w:pStyle w:val="Default"/>
              <w:numPr>
                <w:ilvl w:val="0"/>
                <w:numId w:val="2"/>
              </w:numPr>
              <w:jc w:val="both"/>
              <w:rPr>
                <w:rFonts w:asciiTheme="minorHAnsi" w:hAnsiTheme="minorHAnsi"/>
                <w:sz w:val="18"/>
                <w:szCs w:val="18"/>
              </w:rPr>
            </w:pPr>
            <w:r w:rsidRPr="009844A2">
              <w:rPr>
                <w:rFonts w:asciiTheme="minorHAnsi" w:hAnsiTheme="minorHAnsi"/>
                <w:sz w:val="18"/>
                <w:szCs w:val="18"/>
              </w:rPr>
              <w:t>Logistics</w:t>
            </w:r>
            <w:r w:rsidR="00FF3655" w:rsidRPr="009844A2">
              <w:rPr>
                <w:rFonts w:asciiTheme="minorHAnsi" w:hAnsiTheme="minorHAnsi"/>
                <w:sz w:val="18"/>
                <w:szCs w:val="18"/>
              </w:rPr>
              <w:t>/ Distribution</w:t>
            </w:r>
          </w:p>
          <w:p w:rsidR="0002490F" w:rsidRPr="009844A2" w:rsidRDefault="00FF3655" w:rsidP="009E464C">
            <w:pPr>
              <w:pStyle w:val="Default"/>
              <w:numPr>
                <w:ilvl w:val="0"/>
                <w:numId w:val="2"/>
              </w:numPr>
              <w:jc w:val="both"/>
              <w:rPr>
                <w:rFonts w:asciiTheme="minorHAnsi" w:hAnsiTheme="minorHAnsi"/>
                <w:sz w:val="18"/>
                <w:szCs w:val="18"/>
              </w:rPr>
            </w:pPr>
            <w:r w:rsidRPr="009844A2">
              <w:rPr>
                <w:rFonts w:asciiTheme="minorHAnsi" w:hAnsiTheme="minorHAnsi"/>
                <w:sz w:val="18"/>
                <w:szCs w:val="18"/>
              </w:rPr>
              <w:t>Information Technology</w:t>
            </w:r>
          </w:p>
          <w:p w:rsidR="00B83CFF" w:rsidRPr="009844A2" w:rsidRDefault="0002490F" w:rsidP="009E464C">
            <w:pPr>
              <w:pStyle w:val="Default"/>
              <w:numPr>
                <w:ilvl w:val="0"/>
                <w:numId w:val="2"/>
              </w:numPr>
              <w:jc w:val="both"/>
              <w:rPr>
                <w:rFonts w:asciiTheme="minorHAnsi" w:hAnsiTheme="minorHAnsi"/>
                <w:sz w:val="18"/>
                <w:szCs w:val="18"/>
              </w:rPr>
            </w:pPr>
            <w:r w:rsidRPr="009844A2">
              <w:rPr>
                <w:rFonts w:asciiTheme="minorHAnsi" w:hAnsiTheme="minorHAnsi"/>
                <w:sz w:val="18"/>
                <w:szCs w:val="18"/>
              </w:rPr>
              <w:t xml:space="preserve">Construction </w:t>
            </w:r>
            <w:r w:rsidR="007E529A" w:rsidRPr="009844A2">
              <w:rPr>
                <w:rFonts w:asciiTheme="minorHAnsi" w:hAnsiTheme="minorHAnsi"/>
                <w:sz w:val="18"/>
                <w:szCs w:val="18"/>
              </w:rPr>
              <w:t>Trades</w:t>
            </w:r>
          </w:p>
        </w:tc>
        <w:tc>
          <w:tcPr>
            <w:tcW w:w="3293" w:type="dxa"/>
            <w:vAlign w:val="center"/>
          </w:tcPr>
          <w:p w:rsidR="00B83CFF" w:rsidRPr="009844A2" w:rsidRDefault="00FF3655" w:rsidP="009E464C">
            <w:pPr>
              <w:rPr>
                <w:rFonts w:asciiTheme="minorHAnsi" w:hAnsiTheme="minorHAnsi"/>
                <w:sz w:val="18"/>
                <w:szCs w:val="18"/>
              </w:rPr>
            </w:pPr>
            <w:r w:rsidRPr="009844A2">
              <w:rPr>
                <w:rFonts w:asciiTheme="minorHAnsi" w:hAnsiTheme="minorHAnsi"/>
                <w:sz w:val="18"/>
                <w:szCs w:val="18"/>
              </w:rPr>
              <w:t>WIOA encourages career pathways and stackable credentials.  Time limits exceeding 2 years from enrollment, should be approved using a waiver to the appropriate</w:t>
            </w:r>
            <w:r w:rsidR="003039F3" w:rsidRPr="009844A2">
              <w:rPr>
                <w:rFonts w:asciiTheme="minorHAnsi" w:hAnsiTheme="minorHAnsi"/>
                <w:sz w:val="18"/>
                <w:szCs w:val="18"/>
              </w:rPr>
              <w:t xml:space="preserve"> workforce</w:t>
            </w:r>
            <w:r w:rsidRPr="009844A2">
              <w:rPr>
                <w:rFonts w:asciiTheme="minorHAnsi" w:hAnsiTheme="minorHAnsi"/>
                <w:sz w:val="18"/>
                <w:szCs w:val="18"/>
              </w:rPr>
              <w:t xml:space="preserve"> board.  </w:t>
            </w:r>
          </w:p>
        </w:tc>
        <w:tc>
          <w:tcPr>
            <w:tcW w:w="3481" w:type="dxa"/>
            <w:vAlign w:val="center"/>
          </w:tcPr>
          <w:p w:rsidR="003039F3" w:rsidRPr="009844A2" w:rsidRDefault="003039F3" w:rsidP="009E464C">
            <w:pPr>
              <w:rPr>
                <w:rFonts w:asciiTheme="minorHAnsi" w:hAnsiTheme="minorHAnsi"/>
                <w:sz w:val="18"/>
                <w:szCs w:val="18"/>
              </w:rPr>
            </w:pPr>
            <w:r w:rsidRPr="009844A2">
              <w:rPr>
                <w:rFonts w:asciiTheme="minorHAnsi" w:hAnsiTheme="minorHAnsi"/>
                <w:sz w:val="18"/>
                <w:szCs w:val="18"/>
              </w:rPr>
              <w:t>$12,000</w:t>
            </w:r>
            <w:r w:rsidR="00A5768E" w:rsidRPr="009844A2">
              <w:rPr>
                <w:rFonts w:asciiTheme="minorHAnsi" w:hAnsiTheme="minorHAnsi"/>
                <w:sz w:val="18"/>
                <w:szCs w:val="18"/>
              </w:rPr>
              <w:t>.00</w:t>
            </w:r>
            <w:r w:rsidR="009844A2">
              <w:rPr>
                <w:rFonts w:asciiTheme="minorHAnsi" w:hAnsiTheme="minorHAnsi"/>
                <w:sz w:val="18"/>
                <w:szCs w:val="18"/>
              </w:rPr>
              <w:t xml:space="preserve"> life</w:t>
            </w:r>
            <w:r w:rsidRPr="009844A2">
              <w:rPr>
                <w:rFonts w:asciiTheme="minorHAnsi" w:hAnsiTheme="minorHAnsi"/>
                <w:sz w:val="18"/>
                <w:szCs w:val="18"/>
              </w:rPr>
              <w:t xml:space="preserve">time </w:t>
            </w:r>
            <w:r w:rsidR="00A5768E" w:rsidRPr="009844A2">
              <w:rPr>
                <w:rFonts w:asciiTheme="minorHAnsi" w:hAnsiTheme="minorHAnsi"/>
                <w:sz w:val="18"/>
                <w:szCs w:val="18"/>
              </w:rPr>
              <w:t>limit</w:t>
            </w:r>
          </w:p>
        </w:tc>
      </w:tr>
      <w:tr w:rsidR="0002490F" w:rsidRPr="009844A2" w:rsidTr="00BD0431">
        <w:trPr>
          <w:trHeight w:val="2303"/>
        </w:trPr>
        <w:tc>
          <w:tcPr>
            <w:tcW w:w="2662" w:type="dxa"/>
            <w:vAlign w:val="center"/>
          </w:tcPr>
          <w:p w:rsidR="0002490F" w:rsidRPr="009844A2" w:rsidRDefault="0002490F" w:rsidP="009E464C">
            <w:pPr>
              <w:rPr>
                <w:rFonts w:asciiTheme="minorHAnsi" w:hAnsiTheme="minorHAnsi"/>
                <w:b/>
                <w:sz w:val="18"/>
                <w:szCs w:val="18"/>
              </w:rPr>
            </w:pPr>
            <w:r w:rsidRPr="009844A2">
              <w:rPr>
                <w:rFonts w:asciiTheme="minorHAnsi" w:hAnsiTheme="minorHAnsi"/>
                <w:b/>
                <w:sz w:val="18"/>
                <w:szCs w:val="18"/>
              </w:rPr>
              <w:t>Training P</w:t>
            </w:r>
            <w:r w:rsidR="00315986" w:rsidRPr="009844A2">
              <w:rPr>
                <w:rFonts w:asciiTheme="minorHAnsi" w:hAnsiTheme="minorHAnsi"/>
                <w:b/>
                <w:sz w:val="18"/>
                <w:szCs w:val="18"/>
              </w:rPr>
              <w:t xml:space="preserve">ercentage Requirements </w:t>
            </w:r>
          </w:p>
        </w:tc>
        <w:tc>
          <w:tcPr>
            <w:tcW w:w="5380" w:type="dxa"/>
            <w:vAlign w:val="center"/>
          </w:tcPr>
          <w:p w:rsidR="009844A2" w:rsidRDefault="009844A2" w:rsidP="009E464C">
            <w:pPr>
              <w:rPr>
                <w:rFonts w:asciiTheme="minorHAnsi" w:hAnsiTheme="minorHAnsi"/>
                <w:sz w:val="18"/>
                <w:szCs w:val="18"/>
              </w:rPr>
            </w:pPr>
          </w:p>
          <w:p w:rsidR="0002490F" w:rsidRPr="009844A2" w:rsidRDefault="00315986" w:rsidP="009E464C">
            <w:pPr>
              <w:rPr>
                <w:rFonts w:asciiTheme="minorHAnsi" w:hAnsiTheme="minorHAnsi"/>
                <w:sz w:val="18"/>
                <w:szCs w:val="18"/>
              </w:rPr>
            </w:pPr>
            <w:r w:rsidRPr="009844A2">
              <w:rPr>
                <w:rFonts w:asciiTheme="minorHAnsi" w:hAnsiTheme="minorHAnsi"/>
                <w:sz w:val="18"/>
                <w:szCs w:val="18"/>
              </w:rPr>
              <w:t xml:space="preserve">While training in all of the above named industries is allowed, the industries </w:t>
            </w:r>
            <w:r w:rsidR="006D5DD8" w:rsidRPr="009844A2">
              <w:rPr>
                <w:rFonts w:asciiTheme="minorHAnsi" w:hAnsiTheme="minorHAnsi"/>
                <w:sz w:val="18"/>
                <w:szCs w:val="18"/>
              </w:rPr>
              <w:t xml:space="preserve">should be given priority based on the statements below. </w:t>
            </w:r>
            <w:r w:rsidRPr="009844A2">
              <w:rPr>
                <w:rFonts w:asciiTheme="minorHAnsi" w:hAnsiTheme="minorHAnsi"/>
                <w:sz w:val="18"/>
                <w:szCs w:val="18"/>
              </w:rPr>
              <w:t xml:space="preserve"> </w:t>
            </w:r>
          </w:p>
          <w:p w:rsidR="0002490F" w:rsidRPr="009844A2" w:rsidRDefault="0002490F" w:rsidP="009E464C">
            <w:pPr>
              <w:rPr>
                <w:rFonts w:asciiTheme="minorHAnsi" w:hAnsiTheme="minorHAnsi"/>
                <w:sz w:val="18"/>
                <w:szCs w:val="18"/>
              </w:rPr>
            </w:pPr>
          </w:p>
          <w:p w:rsidR="0002490F" w:rsidRPr="009844A2" w:rsidRDefault="00B34BD9" w:rsidP="009E464C">
            <w:pPr>
              <w:pStyle w:val="ListParagraph"/>
              <w:numPr>
                <w:ilvl w:val="0"/>
                <w:numId w:val="4"/>
              </w:numPr>
              <w:rPr>
                <w:rFonts w:asciiTheme="minorHAnsi" w:hAnsiTheme="minorHAnsi"/>
                <w:sz w:val="18"/>
                <w:szCs w:val="18"/>
              </w:rPr>
            </w:pPr>
            <w:r w:rsidRPr="009844A2">
              <w:rPr>
                <w:rFonts w:asciiTheme="minorHAnsi" w:hAnsiTheme="minorHAnsi"/>
                <w:sz w:val="18"/>
                <w:szCs w:val="18"/>
              </w:rPr>
              <w:t xml:space="preserve">A minimum </w:t>
            </w:r>
            <w:r w:rsidR="003039F3" w:rsidRPr="009844A2">
              <w:rPr>
                <w:rFonts w:asciiTheme="minorHAnsi" w:hAnsiTheme="minorHAnsi"/>
                <w:sz w:val="18"/>
                <w:szCs w:val="18"/>
              </w:rPr>
              <w:t>2</w:t>
            </w:r>
            <w:r w:rsidR="00315986" w:rsidRPr="009844A2">
              <w:rPr>
                <w:rFonts w:asciiTheme="minorHAnsi" w:hAnsiTheme="minorHAnsi"/>
                <w:sz w:val="18"/>
                <w:szCs w:val="18"/>
              </w:rPr>
              <w:t>0</w:t>
            </w:r>
            <w:r w:rsidR="003039F3" w:rsidRPr="009844A2">
              <w:rPr>
                <w:rFonts w:asciiTheme="minorHAnsi" w:hAnsiTheme="minorHAnsi"/>
                <w:sz w:val="18"/>
                <w:szCs w:val="18"/>
              </w:rPr>
              <w:t>%</w:t>
            </w:r>
            <w:r w:rsidR="0002490F" w:rsidRPr="009844A2">
              <w:rPr>
                <w:rFonts w:asciiTheme="minorHAnsi" w:hAnsiTheme="minorHAnsi"/>
                <w:sz w:val="18"/>
                <w:szCs w:val="18"/>
              </w:rPr>
              <w:t xml:space="preserve"> of training dollars must be available for Advanced Manufacturing training. </w:t>
            </w:r>
          </w:p>
          <w:p w:rsidR="0002490F" w:rsidRPr="009844A2" w:rsidRDefault="003039F3" w:rsidP="009E464C">
            <w:pPr>
              <w:pStyle w:val="ListParagraph"/>
              <w:numPr>
                <w:ilvl w:val="0"/>
                <w:numId w:val="4"/>
              </w:numPr>
              <w:rPr>
                <w:rFonts w:asciiTheme="minorHAnsi" w:hAnsiTheme="minorHAnsi"/>
                <w:sz w:val="18"/>
                <w:szCs w:val="18"/>
              </w:rPr>
            </w:pPr>
            <w:r w:rsidRPr="009844A2">
              <w:rPr>
                <w:rFonts w:asciiTheme="minorHAnsi" w:hAnsiTheme="minorHAnsi"/>
                <w:sz w:val="18"/>
                <w:szCs w:val="18"/>
              </w:rPr>
              <w:t>A minimum 15</w:t>
            </w:r>
            <w:r w:rsidR="0002490F" w:rsidRPr="009844A2">
              <w:rPr>
                <w:rFonts w:asciiTheme="minorHAnsi" w:hAnsiTheme="minorHAnsi"/>
                <w:sz w:val="18"/>
                <w:szCs w:val="18"/>
              </w:rPr>
              <w:t xml:space="preserve">% of training dollars must be available for Construction Trades training. </w:t>
            </w:r>
          </w:p>
          <w:p w:rsidR="0002490F" w:rsidRDefault="003039F3" w:rsidP="009E464C">
            <w:pPr>
              <w:pStyle w:val="ListParagraph"/>
              <w:numPr>
                <w:ilvl w:val="0"/>
                <w:numId w:val="4"/>
              </w:numPr>
              <w:rPr>
                <w:rFonts w:asciiTheme="minorHAnsi" w:hAnsiTheme="minorHAnsi"/>
                <w:sz w:val="18"/>
                <w:szCs w:val="18"/>
              </w:rPr>
            </w:pPr>
            <w:r w:rsidRPr="009844A2">
              <w:rPr>
                <w:rFonts w:asciiTheme="minorHAnsi" w:hAnsiTheme="minorHAnsi"/>
                <w:sz w:val="18"/>
                <w:szCs w:val="18"/>
              </w:rPr>
              <w:t xml:space="preserve">A minimum </w:t>
            </w:r>
            <w:r w:rsidR="00315986" w:rsidRPr="009844A2">
              <w:rPr>
                <w:rFonts w:asciiTheme="minorHAnsi" w:hAnsiTheme="minorHAnsi"/>
                <w:sz w:val="18"/>
                <w:szCs w:val="18"/>
              </w:rPr>
              <w:t>of 15</w:t>
            </w:r>
            <w:r w:rsidRPr="009844A2">
              <w:rPr>
                <w:rFonts w:asciiTheme="minorHAnsi" w:hAnsiTheme="minorHAnsi"/>
                <w:sz w:val="18"/>
                <w:szCs w:val="18"/>
              </w:rPr>
              <w:t xml:space="preserve">% </w:t>
            </w:r>
            <w:r w:rsidR="00315986" w:rsidRPr="009844A2">
              <w:rPr>
                <w:rFonts w:asciiTheme="minorHAnsi" w:hAnsiTheme="minorHAnsi"/>
                <w:sz w:val="18"/>
                <w:szCs w:val="18"/>
              </w:rPr>
              <w:t xml:space="preserve">of training dollars must be available for </w:t>
            </w:r>
            <w:r w:rsidRPr="009844A2">
              <w:rPr>
                <w:rFonts w:asciiTheme="minorHAnsi" w:hAnsiTheme="minorHAnsi"/>
                <w:sz w:val="18"/>
                <w:szCs w:val="18"/>
              </w:rPr>
              <w:t>Logistics/Distribution</w:t>
            </w:r>
            <w:r w:rsidR="00315986" w:rsidRPr="009844A2">
              <w:rPr>
                <w:rFonts w:asciiTheme="minorHAnsi" w:hAnsiTheme="minorHAnsi"/>
                <w:sz w:val="18"/>
                <w:szCs w:val="18"/>
              </w:rPr>
              <w:t xml:space="preserve">. </w:t>
            </w:r>
            <w:r w:rsidRPr="009844A2">
              <w:rPr>
                <w:rFonts w:asciiTheme="minorHAnsi" w:hAnsiTheme="minorHAnsi"/>
                <w:sz w:val="18"/>
                <w:szCs w:val="18"/>
              </w:rPr>
              <w:t xml:space="preserve"> </w:t>
            </w:r>
          </w:p>
          <w:p w:rsidR="009844A2" w:rsidRDefault="00082750" w:rsidP="00BD0431">
            <w:pPr>
              <w:pStyle w:val="ListParagraph"/>
              <w:numPr>
                <w:ilvl w:val="0"/>
                <w:numId w:val="4"/>
              </w:numPr>
              <w:rPr>
                <w:rFonts w:asciiTheme="minorHAnsi" w:hAnsiTheme="minorHAnsi"/>
                <w:sz w:val="18"/>
                <w:szCs w:val="18"/>
              </w:rPr>
            </w:pPr>
            <w:r>
              <w:rPr>
                <w:rFonts w:asciiTheme="minorHAnsi" w:hAnsiTheme="minorHAnsi"/>
                <w:sz w:val="18"/>
                <w:szCs w:val="18"/>
              </w:rPr>
              <w:t>The remaining 50% of training dollars may be used for any of the targeted in-demand industries (Advanced Manufacturing, Healthcare, Logistics/Distribution, Information Technology, and Construction Trades)</w:t>
            </w:r>
            <w:r w:rsidR="00CC7240">
              <w:rPr>
                <w:rFonts w:asciiTheme="minorHAnsi" w:hAnsiTheme="minorHAnsi"/>
                <w:sz w:val="18"/>
                <w:szCs w:val="18"/>
              </w:rPr>
              <w:t>.</w:t>
            </w:r>
          </w:p>
          <w:p w:rsidR="00CC7240" w:rsidRPr="00BD0431" w:rsidRDefault="00CC7240" w:rsidP="00CC7240">
            <w:pPr>
              <w:pStyle w:val="ListParagraph"/>
              <w:rPr>
                <w:rFonts w:asciiTheme="minorHAnsi" w:hAnsiTheme="minorHAnsi"/>
                <w:sz w:val="18"/>
                <w:szCs w:val="18"/>
              </w:rPr>
            </w:pPr>
          </w:p>
        </w:tc>
        <w:tc>
          <w:tcPr>
            <w:tcW w:w="3293" w:type="dxa"/>
            <w:vAlign w:val="center"/>
          </w:tcPr>
          <w:p w:rsidR="0002490F" w:rsidRPr="009844A2" w:rsidRDefault="006D5DD8" w:rsidP="009E464C">
            <w:pPr>
              <w:rPr>
                <w:rFonts w:asciiTheme="minorHAnsi" w:hAnsiTheme="minorHAnsi"/>
                <w:sz w:val="18"/>
                <w:szCs w:val="18"/>
              </w:rPr>
            </w:pPr>
            <w:r w:rsidRPr="009844A2">
              <w:rPr>
                <w:rFonts w:asciiTheme="minorHAnsi" w:hAnsiTheme="minorHAnsi"/>
                <w:sz w:val="18"/>
                <w:szCs w:val="18"/>
              </w:rPr>
              <w:t xml:space="preserve">WIOA encourages career pathways and stackable credentials.  Time limits exceeding 2 years from enrollment, should be approved using a waiver to the appropriate workforce board.  </w:t>
            </w:r>
          </w:p>
        </w:tc>
        <w:tc>
          <w:tcPr>
            <w:tcW w:w="3481" w:type="dxa"/>
            <w:vAlign w:val="center"/>
          </w:tcPr>
          <w:p w:rsidR="00A5768E" w:rsidRPr="009844A2" w:rsidRDefault="006D5DD8" w:rsidP="009E464C">
            <w:pPr>
              <w:rPr>
                <w:rFonts w:asciiTheme="minorHAnsi" w:hAnsiTheme="minorHAnsi"/>
                <w:sz w:val="18"/>
                <w:szCs w:val="18"/>
              </w:rPr>
            </w:pPr>
            <w:r w:rsidRPr="009844A2">
              <w:rPr>
                <w:rFonts w:asciiTheme="minorHAnsi" w:hAnsiTheme="minorHAnsi"/>
                <w:sz w:val="18"/>
                <w:szCs w:val="18"/>
              </w:rPr>
              <w:t>$12,000</w:t>
            </w:r>
            <w:r w:rsidR="00A5768E" w:rsidRPr="009844A2">
              <w:rPr>
                <w:rFonts w:asciiTheme="minorHAnsi" w:hAnsiTheme="minorHAnsi"/>
                <w:sz w:val="18"/>
                <w:szCs w:val="18"/>
              </w:rPr>
              <w:t>.00 lifetime limit</w:t>
            </w:r>
          </w:p>
          <w:p w:rsidR="0002490F" w:rsidRPr="009844A2" w:rsidRDefault="0002490F" w:rsidP="009E464C">
            <w:pPr>
              <w:rPr>
                <w:rFonts w:asciiTheme="minorHAnsi" w:hAnsiTheme="minorHAnsi"/>
                <w:sz w:val="18"/>
                <w:szCs w:val="18"/>
              </w:rPr>
            </w:pPr>
          </w:p>
        </w:tc>
      </w:tr>
      <w:tr w:rsidR="00B83CFF" w:rsidRPr="009844A2" w:rsidTr="00BD0431">
        <w:trPr>
          <w:trHeight w:val="1700"/>
        </w:trPr>
        <w:tc>
          <w:tcPr>
            <w:tcW w:w="2662" w:type="dxa"/>
            <w:vAlign w:val="center"/>
          </w:tcPr>
          <w:p w:rsidR="00B83CFF" w:rsidRPr="009844A2" w:rsidRDefault="00B83CFF" w:rsidP="009E464C">
            <w:pPr>
              <w:rPr>
                <w:rFonts w:asciiTheme="minorHAnsi" w:hAnsiTheme="minorHAnsi"/>
                <w:b/>
                <w:sz w:val="18"/>
                <w:szCs w:val="18"/>
              </w:rPr>
            </w:pPr>
            <w:r w:rsidRPr="009844A2">
              <w:rPr>
                <w:rFonts w:asciiTheme="minorHAnsi" w:hAnsiTheme="minorHAnsi"/>
                <w:b/>
                <w:sz w:val="18"/>
                <w:szCs w:val="18"/>
              </w:rPr>
              <w:t>Individual Training Accounts –</w:t>
            </w:r>
            <w:r w:rsidR="0002490F" w:rsidRPr="009844A2">
              <w:rPr>
                <w:rFonts w:asciiTheme="minorHAnsi" w:hAnsiTheme="minorHAnsi"/>
                <w:b/>
                <w:sz w:val="18"/>
                <w:szCs w:val="18"/>
              </w:rPr>
              <w:t xml:space="preserve"> ITA</w:t>
            </w:r>
          </w:p>
        </w:tc>
        <w:tc>
          <w:tcPr>
            <w:tcW w:w="5380" w:type="dxa"/>
            <w:vAlign w:val="center"/>
          </w:tcPr>
          <w:p w:rsidR="00B83CFF" w:rsidRPr="009844A2" w:rsidRDefault="00CD1869" w:rsidP="00CD1869">
            <w:pPr>
              <w:rPr>
                <w:rFonts w:asciiTheme="minorHAnsi" w:hAnsiTheme="minorHAnsi"/>
                <w:sz w:val="18"/>
                <w:szCs w:val="18"/>
              </w:rPr>
            </w:pPr>
            <w:r w:rsidRPr="00CD1869">
              <w:rPr>
                <w:rFonts w:asciiTheme="minorHAnsi" w:hAnsiTheme="minorHAnsi"/>
                <w:sz w:val="18"/>
                <w:szCs w:val="18"/>
              </w:rPr>
              <w:t xml:space="preserve">Training should be for </w:t>
            </w:r>
            <w:r w:rsidR="00B83CFF" w:rsidRPr="00CD1869">
              <w:rPr>
                <w:rFonts w:asciiTheme="minorHAnsi" w:hAnsiTheme="minorHAnsi"/>
                <w:sz w:val="18"/>
                <w:szCs w:val="18"/>
              </w:rPr>
              <w:t xml:space="preserve">regularly </w:t>
            </w:r>
            <w:r w:rsidR="009844A2" w:rsidRPr="00CD1869">
              <w:rPr>
                <w:rFonts w:asciiTheme="minorHAnsi" w:hAnsiTheme="minorHAnsi"/>
                <w:sz w:val="18"/>
                <w:szCs w:val="18"/>
              </w:rPr>
              <w:t>in-</w:t>
            </w:r>
            <w:r w:rsidR="0002490F" w:rsidRPr="00CD1869">
              <w:rPr>
                <w:rFonts w:asciiTheme="minorHAnsi" w:hAnsiTheme="minorHAnsi"/>
                <w:sz w:val="18"/>
                <w:szCs w:val="18"/>
              </w:rPr>
              <w:t>demand occupation</w:t>
            </w:r>
            <w:r w:rsidR="009844A2" w:rsidRPr="00CD1869">
              <w:rPr>
                <w:rFonts w:asciiTheme="minorHAnsi" w:hAnsiTheme="minorHAnsi"/>
                <w:sz w:val="18"/>
                <w:szCs w:val="18"/>
              </w:rPr>
              <w:t>s</w:t>
            </w:r>
            <w:r w:rsidR="0002490F" w:rsidRPr="00CD1869">
              <w:rPr>
                <w:rFonts w:asciiTheme="minorHAnsi" w:hAnsiTheme="minorHAnsi"/>
                <w:sz w:val="18"/>
                <w:szCs w:val="18"/>
              </w:rPr>
              <w:t xml:space="preserve"> within the industries listed above.</w:t>
            </w:r>
            <w:r w:rsidR="0002490F" w:rsidRPr="009844A2">
              <w:rPr>
                <w:rFonts w:asciiTheme="minorHAnsi" w:hAnsiTheme="minorHAnsi"/>
                <w:sz w:val="18"/>
                <w:szCs w:val="18"/>
              </w:rPr>
              <w:t xml:space="preserve"> Training should </w:t>
            </w:r>
            <w:r w:rsidR="0002490F" w:rsidRPr="009844A2">
              <w:rPr>
                <w:rFonts w:asciiTheme="minorHAnsi" w:hAnsiTheme="minorHAnsi"/>
                <w:b/>
                <w:sz w:val="18"/>
                <w:szCs w:val="18"/>
                <w:u w:val="single"/>
              </w:rPr>
              <w:t>not</w:t>
            </w:r>
            <w:r w:rsidR="0002490F" w:rsidRPr="009844A2">
              <w:rPr>
                <w:rFonts w:asciiTheme="minorHAnsi" w:hAnsiTheme="minorHAnsi"/>
                <w:sz w:val="18"/>
                <w:szCs w:val="18"/>
              </w:rPr>
              <w:t xml:space="preserve"> be approved for occupations that do not meet a minimum of $12.00 per hour entry wage (based on local LMI).</w:t>
            </w:r>
            <w:r w:rsidR="00B83CFF" w:rsidRPr="009844A2">
              <w:rPr>
                <w:rFonts w:asciiTheme="minorHAnsi" w:hAnsiTheme="minorHAnsi"/>
                <w:sz w:val="18"/>
                <w:szCs w:val="18"/>
              </w:rPr>
              <w:t xml:space="preserve"> </w:t>
            </w:r>
          </w:p>
        </w:tc>
        <w:tc>
          <w:tcPr>
            <w:tcW w:w="3293" w:type="dxa"/>
            <w:vAlign w:val="center"/>
          </w:tcPr>
          <w:p w:rsidR="00B83CFF" w:rsidRPr="009844A2" w:rsidRDefault="006D5DD8" w:rsidP="009E464C">
            <w:pPr>
              <w:rPr>
                <w:rFonts w:asciiTheme="minorHAnsi" w:hAnsiTheme="minorHAnsi"/>
                <w:sz w:val="18"/>
                <w:szCs w:val="18"/>
              </w:rPr>
            </w:pPr>
            <w:r w:rsidRPr="009844A2">
              <w:rPr>
                <w:rFonts w:asciiTheme="minorHAnsi" w:hAnsiTheme="minorHAnsi"/>
                <w:sz w:val="18"/>
                <w:szCs w:val="18"/>
              </w:rPr>
              <w:t xml:space="preserve">WIOA encourages career pathways and stackable credentials.  Time limits exceeding 2 years from enrollment, should be approved using a waiver to the appropriate workforce board.  </w:t>
            </w:r>
          </w:p>
        </w:tc>
        <w:tc>
          <w:tcPr>
            <w:tcW w:w="3481" w:type="dxa"/>
            <w:vAlign w:val="center"/>
          </w:tcPr>
          <w:p w:rsidR="00B83CFF" w:rsidRPr="009844A2" w:rsidRDefault="00A5768E" w:rsidP="009E464C">
            <w:pPr>
              <w:rPr>
                <w:rFonts w:asciiTheme="minorHAnsi" w:hAnsiTheme="minorHAnsi"/>
                <w:sz w:val="18"/>
                <w:szCs w:val="18"/>
              </w:rPr>
            </w:pPr>
            <w:r w:rsidRPr="009844A2">
              <w:rPr>
                <w:rFonts w:asciiTheme="minorHAnsi" w:hAnsiTheme="minorHAnsi"/>
                <w:sz w:val="18"/>
                <w:szCs w:val="18"/>
              </w:rPr>
              <w:t>$6,000 per year</w:t>
            </w:r>
          </w:p>
        </w:tc>
      </w:tr>
      <w:tr w:rsidR="00B83CFF" w:rsidRPr="009844A2" w:rsidTr="00BD0431">
        <w:trPr>
          <w:trHeight w:val="717"/>
        </w:trPr>
        <w:tc>
          <w:tcPr>
            <w:tcW w:w="2662" w:type="dxa"/>
            <w:vAlign w:val="center"/>
          </w:tcPr>
          <w:p w:rsidR="00B83CFF" w:rsidRPr="009844A2" w:rsidRDefault="00B83CFF" w:rsidP="009E464C">
            <w:pPr>
              <w:rPr>
                <w:rFonts w:asciiTheme="minorHAnsi" w:hAnsiTheme="minorHAnsi"/>
                <w:b/>
                <w:sz w:val="18"/>
                <w:szCs w:val="18"/>
              </w:rPr>
            </w:pPr>
            <w:r w:rsidRPr="009844A2">
              <w:rPr>
                <w:rFonts w:asciiTheme="minorHAnsi" w:hAnsiTheme="minorHAnsi"/>
                <w:b/>
                <w:sz w:val="18"/>
                <w:szCs w:val="18"/>
              </w:rPr>
              <w:t>On The Job Training</w:t>
            </w:r>
          </w:p>
        </w:tc>
        <w:tc>
          <w:tcPr>
            <w:tcW w:w="5380" w:type="dxa"/>
            <w:vAlign w:val="center"/>
          </w:tcPr>
          <w:p w:rsidR="00B83CFF" w:rsidRPr="009844A2" w:rsidRDefault="00B83CFF" w:rsidP="009E464C">
            <w:pPr>
              <w:rPr>
                <w:rFonts w:asciiTheme="minorHAnsi" w:hAnsiTheme="minorHAnsi"/>
                <w:sz w:val="18"/>
                <w:szCs w:val="18"/>
              </w:rPr>
            </w:pPr>
            <w:r w:rsidRPr="009844A2">
              <w:rPr>
                <w:rFonts w:asciiTheme="minorHAnsi" w:hAnsiTheme="minorHAnsi"/>
                <w:sz w:val="18"/>
                <w:szCs w:val="18"/>
              </w:rPr>
              <w:t>Standalone training in demand occupations; may be coupled with classroom training only if industry typically requires expe</w:t>
            </w:r>
            <w:r w:rsidR="006D5DD8" w:rsidRPr="009844A2">
              <w:rPr>
                <w:rFonts w:asciiTheme="minorHAnsi" w:hAnsiTheme="minorHAnsi"/>
                <w:sz w:val="18"/>
                <w:szCs w:val="18"/>
              </w:rPr>
              <w:t>rience for entry level workers</w:t>
            </w:r>
            <w:r w:rsidR="00F52600">
              <w:rPr>
                <w:rFonts w:asciiTheme="minorHAnsi" w:hAnsiTheme="minorHAnsi"/>
                <w:sz w:val="18"/>
                <w:szCs w:val="18"/>
              </w:rPr>
              <w:t>.</w:t>
            </w:r>
            <w:r w:rsidRPr="009844A2">
              <w:rPr>
                <w:rFonts w:asciiTheme="minorHAnsi" w:hAnsiTheme="minorHAnsi"/>
                <w:sz w:val="18"/>
                <w:szCs w:val="18"/>
              </w:rPr>
              <w:t xml:space="preserve">   </w:t>
            </w:r>
            <w:r w:rsidR="009E464C" w:rsidRPr="009844A2">
              <w:rPr>
                <w:rFonts w:asciiTheme="minorHAnsi" w:hAnsiTheme="minorHAnsi"/>
                <w:sz w:val="18"/>
                <w:szCs w:val="18"/>
              </w:rPr>
              <w:br/>
            </w:r>
            <w:r w:rsidR="009E464C" w:rsidRPr="009844A2">
              <w:rPr>
                <w:rFonts w:asciiTheme="minorHAnsi" w:hAnsiTheme="minorHAnsi"/>
                <w:sz w:val="18"/>
                <w:szCs w:val="18"/>
              </w:rPr>
              <w:br/>
              <w:t>On-the-Job Training (OJT) is a training option that provides Employers the opportunity to train new employees (Trainees) on the specific knowledge or skills essential to the full and adequate performance of the job. OJT opportunities are formed through a contractual agreement between the Employer and the OJT Service Provider. The OJT Service Provider provides the Employer with a partial wage reimbursement</w:t>
            </w:r>
            <w:r w:rsidR="00F52600">
              <w:rPr>
                <w:rFonts w:asciiTheme="minorHAnsi" w:hAnsiTheme="minorHAnsi"/>
                <w:sz w:val="18"/>
                <w:szCs w:val="18"/>
              </w:rPr>
              <w:t>.</w:t>
            </w:r>
          </w:p>
          <w:p w:rsidR="00B83CFF" w:rsidRPr="009844A2" w:rsidRDefault="00B83CFF" w:rsidP="009E464C">
            <w:pPr>
              <w:rPr>
                <w:rFonts w:asciiTheme="minorHAnsi" w:hAnsiTheme="minorHAnsi"/>
                <w:sz w:val="18"/>
                <w:szCs w:val="18"/>
              </w:rPr>
            </w:pPr>
          </w:p>
          <w:p w:rsidR="00B83CFF" w:rsidRPr="009844A2" w:rsidRDefault="00B83CFF" w:rsidP="009E464C">
            <w:pPr>
              <w:rPr>
                <w:rFonts w:asciiTheme="minorHAnsi" w:hAnsiTheme="minorHAnsi"/>
                <w:sz w:val="18"/>
                <w:szCs w:val="18"/>
              </w:rPr>
            </w:pPr>
            <w:r w:rsidRPr="009844A2">
              <w:rPr>
                <w:rFonts w:asciiTheme="minorHAnsi" w:hAnsiTheme="minorHAnsi"/>
                <w:sz w:val="18"/>
                <w:szCs w:val="18"/>
              </w:rPr>
              <w:t xml:space="preserve">No more than 5 slots or 25% of an employer’s workforce (whichever </w:t>
            </w:r>
            <w:r w:rsidR="006D5DD8" w:rsidRPr="009844A2">
              <w:rPr>
                <w:rFonts w:asciiTheme="minorHAnsi" w:hAnsiTheme="minorHAnsi"/>
                <w:sz w:val="18"/>
                <w:szCs w:val="18"/>
              </w:rPr>
              <w:t>is less) per year per employer</w:t>
            </w:r>
            <w:r w:rsidR="00F52600">
              <w:rPr>
                <w:rFonts w:asciiTheme="minorHAnsi" w:hAnsiTheme="minorHAnsi"/>
                <w:sz w:val="18"/>
                <w:szCs w:val="18"/>
              </w:rPr>
              <w:t>.</w:t>
            </w:r>
          </w:p>
        </w:tc>
        <w:tc>
          <w:tcPr>
            <w:tcW w:w="3293" w:type="dxa"/>
            <w:vAlign w:val="center"/>
          </w:tcPr>
          <w:p w:rsidR="00B83CFF" w:rsidRPr="009844A2" w:rsidRDefault="00B83CFF" w:rsidP="009E464C">
            <w:pPr>
              <w:rPr>
                <w:rFonts w:asciiTheme="minorHAnsi" w:hAnsiTheme="minorHAnsi"/>
                <w:sz w:val="18"/>
                <w:szCs w:val="18"/>
              </w:rPr>
            </w:pPr>
            <w:r w:rsidRPr="009844A2">
              <w:rPr>
                <w:rFonts w:asciiTheme="minorHAnsi" w:hAnsiTheme="minorHAnsi"/>
                <w:sz w:val="18"/>
                <w:szCs w:val="18"/>
              </w:rPr>
              <w:t>6 months maximum (time period should be customized based on the specific skill gaps of the participant)</w:t>
            </w:r>
          </w:p>
          <w:p w:rsidR="009E464C" w:rsidRPr="009844A2" w:rsidRDefault="009E464C" w:rsidP="009E464C">
            <w:pPr>
              <w:rPr>
                <w:rFonts w:asciiTheme="minorHAnsi" w:hAnsiTheme="minorHAnsi"/>
                <w:sz w:val="18"/>
                <w:szCs w:val="18"/>
              </w:rPr>
            </w:pPr>
          </w:p>
          <w:p w:rsidR="00B83CFF" w:rsidRPr="009844A2" w:rsidRDefault="00B83CFF" w:rsidP="009E464C">
            <w:pPr>
              <w:rPr>
                <w:rFonts w:asciiTheme="minorHAnsi" w:hAnsiTheme="minorHAnsi"/>
                <w:sz w:val="18"/>
                <w:szCs w:val="18"/>
              </w:rPr>
            </w:pPr>
          </w:p>
          <w:p w:rsidR="00B83CFF" w:rsidRPr="009844A2" w:rsidRDefault="00B83CFF" w:rsidP="009E464C">
            <w:pPr>
              <w:rPr>
                <w:rFonts w:asciiTheme="minorHAnsi" w:hAnsiTheme="minorHAnsi"/>
                <w:sz w:val="18"/>
                <w:szCs w:val="18"/>
              </w:rPr>
            </w:pPr>
          </w:p>
        </w:tc>
        <w:tc>
          <w:tcPr>
            <w:tcW w:w="3481" w:type="dxa"/>
            <w:vAlign w:val="center"/>
          </w:tcPr>
          <w:p w:rsidR="009E464C" w:rsidRPr="009844A2" w:rsidRDefault="009E464C" w:rsidP="009E464C">
            <w:pPr>
              <w:rPr>
                <w:rFonts w:asciiTheme="minorHAnsi" w:hAnsiTheme="minorHAnsi"/>
                <w:sz w:val="18"/>
                <w:szCs w:val="18"/>
              </w:rPr>
            </w:pPr>
            <w:r w:rsidRPr="009844A2">
              <w:rPr>
                <w:rFonts w:asciiTheme="minorHAnsi" w:hAnsiTheme="minorHAnsi"/>
                <w:sz w:val="18"/>
                <w:szCs w:val="18"/>
              </w:rPr>
              <w:t>$6,000.00 per slot</w:t>
            </w:r>
          </w:p>
          <w:p w:rsidR="009E464C" w:rsidRPr="009844A2" w:rsidRDefault="009E464C" w:rsidP="009E464C">
            <w:pPr>
              <w:rPr>
                <w:rFonts w:asciiTheme="minorHAnsi" w:hAnsiTheme="minorHAnsi"/>
                <w:sz w:val="18"/>
                <w:szCs w:val="18"/>
              </w:rPr>
            </w:pPr>
          </w:p>
          <w:p w:rsidR="009E464C" w:rsidRPr="009844A2" w:rsidRDefault="009E464C" w:rsidP="009E464C">
            <w:pPr>
              <w:rPr>
                <w:rFonts w:asciiTheme="minorHAnsi" w:hAnsiTheme="minorHAnsi"/>
                <w:sz w:val="18"/>
                <w:szCs w:val="18"/>
              </w:rPr>
            </w:pPr>
            <w:r w:rsidRPr="009844A2">
              <w:rPr>
                <w:rFonts w:asciiTheme="minorHAnsi" w:hAnsiTheme="minorHAnsi"/>
                <w:sz w:val="18"/>
                <w:szCs w:val="18"/>
              </w:rPr>
              <w:t>Employer Size Reimbursement Percentage is as follows:</w:t>
            </w:r>
          </w:p>
          <w:p w:rsidR="00492BF6" w:rsidRPr="00BD0431" w:rsidRDefault="00BD0431" w:rsidP="00BD0431">
            <w:pPr>
              <w:rPr>
                <w:rFonts w:asciiTheme="minorHAnsi" w:hAnsiTheme="minorHAnsi"/>
                <w:sz w:val="18"/>
                <w:szCs w:val="18"/>
              </w:rPr>
            </w:pPr>
            <w:r w:rsidRPr="00BD0431">
              <w:rPr>
                <w:rFonts w:asciiTheme="minorHAnsi" w:hAnsiTheme="minorHAnsi"/>
                <w:sz w:val="18"/>
                <w:szCs w:val="18"/>
              </w:rPr>
              <w:t>-</w:t>
            </w:r>
            <w:r>
              <w:rPr>
                <w:rFonts w:asciiTheme="minorHAnsi" w:hAnsiTheme="minorHAnsi"/>
                <w:sz w:val="18"/>
                <w:szCs w:val="18"/>
              </w:rPr>
              <w:t xml:space="preserve"> </w:t>
            </w:r>
            <w:r w:rsidR="009E464C" w:rsidRPr="00BD0431">
              <w:rPr>
                <w:rFonts w:asciiTheme="minorHAnsi" w:hAnsiTheme="minorHAnsi"/>
                <w:sz w:val="18"/>
                <w:szCs w:val="18"/>
              </w:rPr>
              <w:t xml:space="preserve">A maximum of 50 percent for large employers defined as having a </w:t>
            </w:r>
            <w:r w:rsidR="00CD1869" w:rsidRPr="00BD0431">
              <w:rPr>
                <w:rFonts w:asciiTheme="minorHAnsi" w:hAnsiTheme="minorHAnsi"/>
                <w:sz w:val="18"/>
                <w:szCs w:val="18"/>
              </w:rPr>
              <w:t>250</w:t>
            </w:r>
            <w:r w:rsidR="009E464C" w:rsidRPr="00BD0431">
              <w:rPr>
                <w:rFonts w:asciiTheme="minorHAnsi" w:hAnsiTheme="minorHAnsi"/>
                <w:sz w:val="18"/>
                <w:szCs w:val="18"/>
              </w:rPr>
              <w:t xml:space="preserve"> or more employees</w:t>
            </w:r>
            <w:r w:rsidR="009E464C" w:rsidRPr="00BD0431">
              <w:rPr>
                <w:rFonts w:asciiTheme="minorHAnsi" w:hAnsiTheme="minorHAnsi"/>
                <w:sz w:val="18"/>
                <w:szCs w:val="18"/>
              </w:rPr>
              <w:br/>
            </w:r>
            <w:r>
              <w:rPr>
                <w:rFonts w:asciiTheme="minorHAnsi" w:hAnsiTheme="minorHAnsi"/>
                <w:sz w:val="18"/>
                <w:szCs w:val="18"/>
              </w:rPr>
              <w:t xml:space="preserve">- </w:t>
            </w:r>
            <w:r w:rsidR="009E464C" w:rsidRPr="00BD0431">
              <w:rPr>
                <w:rFonts w:asciiTheme="minorHAnsi" w:hAnsiTheme="minorHAnsi"/>
                <w:sz w:val="18"/>
                <w:szCs w:val="18"/>
              </w:rPr>
              <w:t>A maximum of 65 percent for medium size e</w:t>
            </w:r>
            <w:r w:rsidR="00CD1869" w:rsidRPr="00BD0431">
              <w:rPr>
                <w:rFonts w:asciiTheme="minorHAnsi" w:hAnsiTheme="minorHAnsi"/>
                <w:sz w:val="18"/>
                <w:szCs w:val="18"/>
              </w:rPr>
              <w:t>mployers defined as having 50-249</w:t>
            </w:r>
            <w:r w:rsidR="009E464C" w:rsidRPr="00BD0431">
              <w:rPr>
                <w:rFonts w:asciiTheme="minorHAnsi" w:hAnsiTheme="minorHAnsi"/>
                <w:sz w:val="18"/>
                <w:szCs w:val="18"/>
              </w:rPr>
              <w:t xml:space="preserve"> employees </w:t>
            </w:r>
            <w:r w:rsidR="009E464C" w:rsidRPr="00BD0431">
              <w:rPr>
                <w:rFonts w:asciiTheme="minorHAnsi" w:hAnsiTheme="minorHAnsi"/>
                <w:sz w:val="18"/>
                <w:szCs w:val="18"/>
              </w:rPr>
              <w:br/>
            </w:r>
            <w:r>
              <w:rPr>
                <w:rFonts w:asciiTheme="minorHAnsi" w:hAnsiTheme="minorHAnsi"/>
                <w:sz w:val="18"/>
                <w:szCs w:val="18"/>
              </w:rPr>
              <w:t xml:space="preserve">- </w:t>
            </w:r>
            <w:r w:rsidR="009E464C" w:rsidRPr="00BD0431">
              <w:rPr>
                <w:rFonts w:asciiTheme="minorHAnsi" w:hAnsiTheme="minorHAnsi"/>
                <w:sz w:val="18"/>
                <w:szCs w:val="18"/>
              </w:rPr>
              <w:t>A maximum of 75 percent for small em</w:t>
            </w:r>
            <w:r w:rsidR="00CD1869" w:rsidRPr="00BD0431">
              <w:rPr>
                <w:rFonts w:asciiTheme="minorHAnsi" w:hAnsiTheme="minorHAnsi"/>
                <w:sz w:val="18"/>
                <w:szCs w:val="18"/>
              </w:rPr>
              <w:t>ployers with a workforce of 1-49</w:t>
            </w:r>
            <w:r w:rsidR="009E464C" w:rsidRPr="00BD0431">
              <w:rPr>
                <w:rFonts w:asciiTheme="minorHAnsi" w:hAnsiTheme="minorHAnsi"/>
                <w:sz w:val="18"/>
                <w:szCs w:val="18"/>
              </w:rPr>
              <w:t xml:space="preserve"> employees</w:t>
            </w:r>
          </w:p>
        </w:tc>
      </w:tr>
      <w:tr w:rsidR="009E464C" w:rsidRPr="009844A2" w:rsidTr="00BD0431">
        <w:trPr>
          <w:trHeight w:val="717"/>
        </w:trPr>
        <w:tc>
          <w:tcPr>
            <w:tcW w:w="2662" w:type="dxa"/>
            <w:vAlign w:val="center"/>
          </w:tcPr>
          <w:p w:rsidR="009E464C" w:rsidRPr="009844A2" w:rsidRDefault="009E464C" w:rsidP="009E464C">
            <w:pPr>
              <w:jc w:val="center"/>
              <w:rPr>
                <w:rFonts w:asciiTheme="minorHAnsi" w:hAnsiTheme="minorHAnsi"/>
                <w:b/>
                <w:sz w:val="18"/>
                <w:szCs w:val="18"/>
              </w:rPr>
            </w:pPr>
          </w:p>
          <w:p w:rsidR="009E464C" w:rsidRPr="009844A2" w:rsidRDefault="009E464C" w:rsidP="009E464C">
            <w:pPr>
              <w:jc w:val="center"/>
              <w:rPr>
                <w:rFonts w:asciiTheme="minorHAnsi" w:hAnsiTheme="minorHAnsi"/>
                <w:b/>
                <w:sz w:val="18"/>
                <w:szCs w:val="18"/>
              </w:rPr>
            </w:pPr>
            <w:r w:rsidRPr="009844A2">
              <w:rPr>
                <w:rFonts w:asciiTheme="minorHAnsi" w:hAnsiTheme="minorHAnsi"/>
                <w:b/>
                <w:sz w:val="18"/>
                <w:szCs w:val="18"/>
              </w:rPr>
              <w:t>Training Activity</w:t>
            </w:r>
          </w:p>
          <w:p w:rsidR="009E464C" w:rsidRPr="009844A2" w:rsidRDefault="009E464C" w:rsidP="009E464C">
            <w:pPr>
              <w:jc w:val="center"/>
              <w:rPr>
                <w:rFonts w:asciiTheme="minorHAnsi" w:hAnsiTheme="minorHAnsi"/>
                <w:b/>
                <w:sz w:val="18"/>
                <w:szCs w:val="18"/>
              </w:rPr>
            </w:pPr>
          </w:p>
        </w:tc>
        <w:tc>
          <w:tcPr>
            <w:tcW w:w="5380" w:type="dxa"/>
            <w:vAlign w:val="center"/>
          </w:tcPr>
          <w:p w:rsidR="009E464C" w:rsidRPr="009844A2" w:rsidRDefault="009E464C" w:rsidP="009E464C">
            <w:pPr>
              <w:jc w:val="center"/>
              <w:rPr>
                <w:rFonts w:asciiTheme="minorHAnsi" w:hAnsiTheme="minorHAnsi"/>
                <w:b/>
                <w:sz w:val="18"/>
                <w:szCs w:val="18"/>
              </w:rPr>
            </w:pPr>
            <w:r w:rsidRPr="009844A2">
              <w:rPr>
                <w:rFonts w:asciiTheme="minorHAnsi" w:hAnsiTheme="minorHAnsi"/>
                <w:b/>
                <w:sz w:val="18"/>
                <w:szCs w:val="18"/>
              </w:rPr>
              <w:t>Local Requirements</w:t>
            </w:r>
          </w:p>
        </w:tc>
        <w:tc>
          <w:tcPr>
            <w:tcW w:w="3293" w:type="dxa"/>
            <w:vAlign w:val="center"/>
          </w:tcPr>
          <w:p w:rsidR="009E464C" w:rsidRPr="009844A2" w:rsidRDefault="009E464C" w:rsidP="009E464C">
            <w:pPr>
              <w:jc w:val="center"/>
              <w:rPr>
                <w:rFonts w:asciiTheme="minorHAnsi" w:hAnsiTheme="minorHAnsi"/>
                <w:b/>
                <w:sz w:val="18"/>
                <w:szCs w:val="18"/>
              </w:rPr>
            </w:pPr>
            <w:r w:rsidRPr="009844A2">
              <w:rPr>
                <w:rFonts w:asciiTheme="minorHAnsi" w:hAnsiTheme="minorHAnsi"/>
                <w:b/>
                <w:sz w:val="18"/>
                <w:szCs w:val="18"/>
              </w:rPr>
              <w:t>Training Time Limit</w:t>
            </w:r>
          </w:p>
        </w:tc>
        <w:tc>
          <w:tcPr>
            <w:tcW w:w="3481" w:type="dxa"/>
            <w:vAlign w:val="center"/>
          </w:tcPr>
          <w:p w:rsidR="009E464C" w:rsidRPr="009844A2" w:rsidRDefault="009E464C" w:rsidP="009E464C">
            <w:pPr>
              <w:jc w:val="center"/>
              <w:rPr>
                <w:rFonts w:asciiTheme="minorHAnsi" w:hAnsiTheme="minorHAnsi"/>
                <w:b/>
                <w:sz w:val="18"/>
                <w:szCs w:val="18"/>
              </w:rPr>
            </w:pPr>
            <w:r w:rsidRPr="009844A2">
              <w:rPr>
                <w:rFonts w:asciiTheme="minorHAnsi" w:hAnsiTheme="minorHAnsi"/>
                <w:b/>
                <w:sz w:val="18"/>
                <w:szCs w:val="18"/>
              </w:rPr>
              <w:t>Cost Limit (Lifetime)</w:t>
            </w:r>
          </w:p>
        </w:tc>
      </w:tr>
      <w:tr w:rsidR="009E464C" w:rsidRPr="009844A2" w:rsidTr="00BD0431">
        <w:trPr>
          <w:trHeight w:val="182"/>
        </w:trPr>
        <w:tc>
          <w:tcPr>
            <w:tcW w:w="2662" w:type="dxa"/>
            <w:vAlign w:val="center"/>
          </w:tcPr>
          <w:p w:rsidR="009E464C" w:rsidRPr="009844A2" w:rsidRDefault="009E464C" w:rsidP="009E464C">
            <w:pPr>
              <w:rPr>
                <w:rFonts w:asciiTheme="minorHAnsi" w:hAnsiTheme="minorHAnsi"/>
                <w:b/>
                <w:sz w:val="18"/>
                <w:szCs w:val="18"/>
              </w:rPr>
            </w:pPr>
            <w:r w:rsidRPr="009844A2">
              <w:rPr>
                <w:rFonts w:asciiTheme="minorHAnsi" w:hAnsiTheme="minorHAnsi"/>
                <w:b/>
                <w:sz w:val="18"/>
                <w:szCs w:val="18"/>
              </w:rPr>
              <w:t>Work Experience</w:t>
            </w:r>
          </w:p>
        </w:tc>
        <w:tc>
          <w:tcPr>
            <w:tcW w:w="5380" w:type="dxa"/>
            <w:vAlign w:val="center"/>
          </w:tcPr>
          <w:p w:rsidR="009E464C" w:rsidRPr="009844A2" w:rsidRDefault="009E464C" w:rsidP="009E464C">
            <w:pPr>
              <w:rPr>
                <w:rFonts w:asciiTheme="minorHAnsi" w:hAnsiTheme="minorHAnsi"/>
                <w:sz w:val="18"/>
                <w:szCs w:val="18"/>
              </w:rPr>
            </w:pPr>
          </w:p>
          <w:p w:rsidR="009E464C" w:rsidRPr="009844A2" w:rsidRDefault="009E464C" w:rsidP="009E464C">
            <w:pPr>
              <w:rPr>
                <w:rFonts w:asciiTheme="minorHAnsi" w:hAnsiTheme="minorHAnsi"/>
                <w:sz w:val="18"/>
                <w:szCs w:val="18"/>
              </w:rPr>
            </w:pPr>
            <w:r w:rsidRPr="009844A2">
              <w:rPr>
                <w:rFonts w:asciiTheme="minorHAnsi" w:hAnsiTheme="minorHAnsi"/>
                <w:sz w:val="18"/>
                <w:szCs w:val="18"/>
              </w:rPr>
              <w:t xml:space="preserve">Standalone training in demand occupations; may be coupled with classroom training and/or OJT. </w:t>
            </w:r>
          </w:p>
          <w:p w:rsidR="009E464C" w:rsidRPr="009844A2" w:rsidRDefault="009E464C" w:rsidP="009E464C">
            <w:pPr>
              <w:rPr>
                <w:rFonts w:asciiTheme="minorHAnsi" w:hAnsiTheme="minorHAnsi"/>
                <w:sz w:val="18"/>
                <w:szCs w:val="18"/>
              </w:rPr>
            </w:pPr>
          </w:p>
          <w:p w:rsidR="009E464C" w:rsidRPr="009844A2" w:rsidRDefault="009E464C" w:rsidP="009E464C">
            <w:pPr>
              <w:rPr>
                <w:rFonts w:asciiTheme="minorHAnsi" w:hAnsiTheme="minorHAnsi"/>
                <w:sz w:val="18"/>
                <w:szCs w:val="18"/>
              </w:rPr>
            </w:pPr>
            <w:r w:rsidRPr="009844A2">
              <w:rPr>
                <w:rFonts w:asciiTheme="minorHAnsi" w:hAnsiTheme="minorHAnsi"/>
                <w:sz w:val="18"/>
                <w:szCs w:val="18"/>
              </w:rPr>
              <w:t>The primary purpose of the WIOA Work Experience program is to provide training in a work environment that will enable participants to enhance their employability skills and to increase their potential for obtaining unsubsidized employment.  Work experience is designed for those individuals who have not worked for an extended period of time or those who are entering a new career.  A temporary short-term work assignment is provided through the Work Experience program to develop good work habits and basic work skills.</w:t>
            </w:r>
          </w:p>
          <w:p w:rsidR="009E464C" w:rsidRPr="009844A2" w:rsidRDefault="009E464C" w:rsidP="009E464C">
            <w:pPr>
              <w:rPr>
                <w:rFonts w:asciiTheme="minorHAnsi" w:hAnsiTheme="minorHAnsi"/>
                <w:sz w:val="18"/>
                <w:szCs w:val="18"/>
              </w:rPr>
            </w:pPr>
          </w:p>
          <w:p w:rsidR="009E464C" w:rsidRPr="009844A2" w:rsidRDefault="009E464C" w:rsidP="009E464C">
            <w:pPr>
              <w:rPr>
                <w:rFonts w:asciiTheme="minorHAnsi" w:hAnsiTheme="minorHAnsi"/>
                <w:sz w:val="18"/>
                <w:szCs w:val="18"/>
              </w:rPr>
            </w:pPr>
            <w:r w:rsidRPr="009844A2">
              <w:rPr>
                <w:rFonts w:asciiTheme="minorHAnsi" w:hAnsiTheme="minorHAnsi"/>
                <w:sz w:val="18"/>
                <w:szCs w:val="18"/>
              </w:rPr>
              <w:t>This Work Experience Training Worksite Agreement will outline the responsibilities of the work experience worksites for delivering hands-on training to eligible WIOA participants.</w:t>
            </w:r>
          </w:p>
          <w:p w:rsidR="009E464C" w:rsidRPr="009844A2" w:rsidRDefault="009E464C" w:rsidP="009E464C">
            <w:pPr>
              <w:rPr>
                <w:rFonts w:asciiTheme="minorHAnsi" w:hAnsiTheme="minorHAnsi"/>
                <w:sz w:val="18"/>
                <w:szCs w:val="18"/>
              </w:rPr>
            </w:pPr>
          </w:p>
        </w:tc>
        <w:tc>
          <w:tcPr>
            <w:tcW w:w="3293" w:type="dxa"/>
            <w:vAlign w:val="center"/>
          </w:tcPr>
          <w:p w:rsidR="009E464C" w:rsidRPr="009844A2" w:rsidRDefault="00266BB7" w:rsidP="009E464C">
            <w:pPr>
              <w:rPr>
                <w:rFonts w:asciiTheme="minorHAnsi" w:hAnsiTheme="minorHAnsi"/>
                <w:sz w:val="18"/>
                <w:szCs w:val="18"/>
              </w:rPr>
            </w:pPr>
            <w:r>
              <w:rPr>
                <w:rFonts w:asciiTheme="minorHAnsi" w:hAnsiTheme="minorHAnsi"/>
                <w:sz w:val="18"/>
                <w:szCs w:val="18"/>
              </w:rPr>
              <w:t>U</w:t>
            </w:r>
            <w:r w:rsidR="009E464C" w:rsidRPr="009844A2">
              <w:rPr>
                <w:rFonts w:asciiTheme="minorHAnsi" w:hAnsiTheme="minorHAnsi"/>
                <w:sz w:val="18"/>
                <w:szCs w:val="18"/>
              </w:rPr>
              <w:t xml:space="preserve">p to 12 weeks </w:t>
            </w:r>
          </w:p>
        </w:tc>
        <w:tc>
          <w:tcPr>
            <w:tcW w:w="3481" w:type="dxa"/>
            <w:vAlign w:val="center"/>
          </w:tcPr>
          <w:p w:rsidR="009E464C" w:rsidRPr="009844A2" w:rsidRDefault="009E464C" w:rsidP="009E464C">
            <w:pPr>
              <w:rPr>
                <w:rFonts w:asciiTheme="minorHAnsi" w:hAnsiTheme="minorHAnsi"/>
                <w:sz w:val="18"/>
                <w:szCs w:val="18"/>
              </w:rPr>
            </w:pPr>
          </w:p>
          <w:p w:rsidR="009E464C" w:rsidRPr="009844A2" w:rsidRDefault="009E464C" w:rsidP="009E464C">
            <w:pPr>
              <w:rPr>
                <w:rFonts w:asciiTheme="minorHAnsi" w:hAnsiTheme="minorHAnsi"/>
                <w:sz w:val="18"/>
                <w:szCs w:val="18"/>
              </w:rPr>
            </w:pPr>
            <w:r w:rsidRPr="009844A2">
              <w:rPr>
                <w:rFonts w:asciiTheme="minorHAnsi" w:hAnsiTheme="minorHAnsi"/>
                <w:sz w:val="18"/>
                <w:szCs w:val="18"/>
              </w:rPr>
              <w:t>Max of $4,800.00 ($10.00 per hour)</w:t>
            </w:r>
          </w:p>
          <w:p w:rsidR="009E464C" w:rsidRPr="009844A2" w:rsidRDefault="009E464C" w:rsidP="009E464C">
            <w:pPr>
              <w:rPr>
                <w:rFonts w:asciiTheme="minorHAnsi" w:hAnsiTheme="minorHAnsi"/>
                <w:sz w:val="18"/>
                <w:szCs w:val="18"/>
              </w:rPr>
            </w:pPr>
          </w:p>
        </w:tc>
      </w:tr>
      <w:tr w:rsidR="009E464C" w:rsidRPr="009844A2" w:rsidTr="00BD0431">
        <w:trPr>
          <w:trHeight w:val="373"/>
        </w:trPr>
        <w:tc>
          <w:tcPr>
            <w:tcW w:w="2662" w:type="dxa"/>
            <w:vAlign w:val="center"/>
          </w:tcPr>
          <w:p w:rsidR="009E464C" w:rsidRPr="009844A2" w:rsidRDefault="009E464C" w:rsidP="009E464C">
            <w:pPr>
              <w:rPr>
                <w:rFonts w:asciiTheme="minorHAnsi" w:hAnsiTheme="minorHAnsi"/>
                <w:b/>
                <w:sz w:val="18"/>
                <w:szCs w:val="18"/>
              </w:rPr>
            </w:pPr>
            <w:r w:rsidRPr="009844A2">
              <w:rPr>
                <w:rFonts w:asciiTheme="minorHAnsi" w:hAnsiTheme="minorHAnsi"/>
                <w:b/>
                <w:sz w:val="18"/>
                <w:szCs w:val="18"/>
              </w:rPr>
              <w:t>Pre-Vocational Training (Includes Skill Upgrades)</w:t>
            </w:r>
          </w:p>
        </w:tc>
        <w:tc>
          <w:tcPr>
            <w:tcW w:w="5380" w:type="dxa"/>
            <w:vAlign w:val="center"/>
          </w:tcPr>
          <w:p w:rsidR="009E464C" w:rsidRPr="009844A2" w:rsidRDefault="009E464C" w:rsidP="009E464C">
            <w:pPr>
              <w:rPr>
                <w:rFonts w:asciiTheme="minorHAnsi" w:hAnsiTheme="minorHAnsi"/>
                <w:sz w:val="18"/>
                <w:szCs w:val="18"/>
              </w:rPr>
            </w:pPr>
            <w:r w:rsidRPr="009844A2">
              <w:rPr>
                <w:rFonts w:asciiTheme="minorHAnsi" w:hAnsiTheme="minorHAnsi"/>
                <w:sz w:val="18"/>
                <w:szCs w:val="18"/>
              </w:rPr>
              <w:t>GED, ESOL, remedial training, WorkKeys preparation, basic computer skills, skill upgrades, skill gap training and other training that enhances employability in demand occupations.</w:t>
            </w:r>
          </w:p>
        </w:tc>
        <w:tc>
          <w:tcPr>
            <w:tcW w:w="3293" w:type="dxa"/>
            <w:vAlign w:val="center"/>
          </w:tcPr>
          <w:p w:rsidR="009E464C" w:rsidRPr="009844A2" w:rsidRDefault="009E464C" w:rsidP="009E464C">
            <w:pPr>
              <w:rPr>
                <w:rFonts w:asciiTheme="minorHAnsi" w:hAnsiTheme="minorHAnsi"/>
                <w:sz w:val="18"/>
                <w:szCs w:val="18"/>
              </w:rPr>
            </w:pPr>
            <w:r w:rsidRPr="009844A2">
              <w:rPr>
                <w:rFonts w:asciiTheme="minorHAnsi" w:hAnsiTheme="minorHAnsi"/>
                <w:sz w:val="18"/>
                <w:szCs w:val="18"/>
              </w:rPr>
              <w:t>2 years for GED or ESOL (continuous engagement required, if available)</w:t>
            </w:r>
          </w:p>
          <w:p w:rsidR="009E464C" w:rsidRPr="009844A2" w:rsidRDefault="009E464C" w:rsidP="009E464C">
            <w:pPr>
              <w:rPr>
                <w:rFonts w:asciiTheme="minorHAnsi" w:hAnsiTheme="minorHAnsi"/>
                <w:sz w:val="18"/>
                <w:szCs w:val="18"/>
              </w:rPr>
            </w:pPr>
          </w:p>
          <w:p w:rsidR="009E464C" w:rsidRPr="009844A2" w:rsidRDefault="009E464C" w:rsidP="009E464C">
            <w:pPr>
              <w:rPr>
                <w:rFonts w:asciiTheme="minorHAnsi" w:hAnsiTheme="minorHAnsi"/>
                <w:sz w:val="18"/>
                <w:szCs w:val="18"/>
              </w:rPr>
            </w:pPr>
            <w:r w:rsidRPr="009844A2">
              <w:rPr>
                <w:rFonts w:asciiTheme="minorHAnsi" w:hAnsiTheme="minorHAnsi"/>
                <w:sz w:val="18"/>
                <w:szCs w:val="18"/>
              </w:rPr>
              <w:t xml:space="preserve"> 6 weeks for 215’s</w:t>
            </w:r>
          </w:p>
          <w:p w:rsidR="009E464C" w:rsidRPr="009844A2" w:rsidRDefault="009E464C" w:rsidP="009E464C">
            <w:pPr>
              <w:rPr>
                <w:rFonts w:asciiTheme="minorHAnsi" w:hAnsiTheme="minorHAnsi"/>
                <w:sz w:val="18"/>
                <w:szCs w:val="18"/>
              </w:rPr>
            </w:pPr>
            <w:r w:rsidRPr="009844A2">
              <w:rPr>
                <w:rFonts w:asciiTheme="minorHAnsi" w:hAnsiTheme="minorHAnsi"/>
                <w:sz w:val="18"/>
                <w:szCs w:val="18"/>
              </w:rPr>
              <w:t>12 weeks for all others</w:t>
            </w:r>
          </w:p>
        </w:tc>
        <w:tc>
          <w:tcPr>
            <w:tcW w:w="3481" w:type="dxa"/>
            <w:vAlign w:val="center"/>
          </w:tcPr>
          <w:p w:rsidR="009E464C" w:rsidRPr="009844A2" w:rsidRDefault="009E464C" w:rsidP="009E464C">
            <w:pPr>
              <w:rPr>
                <w:rFonts w:asciiTheme="minorHAnsi" w:hAnsiTheme="minorHAnsi"/>
                <w:sz w:val="18"/>
                <w:szCs w:val="18"/>
              </w:rPr>
            </w:pPr>
          </w:p>
          <w:p w:rsidR="009E464C" w:rsidRPr="009844A2" w:rsidRDefault="009E464C" w:rsidP="009E464C">
            <w:pPr>
              <w:rPr>
                <w:rFonts w:asciiTheme="minorHAnsi" w:hAnsiTheme="minorHAnsi"/>
                <w:sz w:val="18"/>
                <w:szCs w:val="18"/>
              </w:rPr>
            </w:pPr>
          </w:p>
          <w:p w:rsidR="009E464C" w:rsidRPr="009844A2" w:rsidRDefault="009E464C" w:rsidP="009E464C">
            <w:pPr>
              <w:rPr>
                <w:rFonts w:asciiTheme="minorHAnsi" w:hAnsiTheme="minorHAnsi"/>
                <w:sz w:val="18"/>
                <w:szCs w:val="18"/>
              </w:rPr>
            </w:pPr>
            <w:r w:rsidRPr="009844A2">
              <w:rPr>
                <w:rFonts w:asciiTheme="minorHAnsi" w:hAnsiTheme="minorHAnsi"/>
                <w:sz w:val="18"/>
                <w:szCs w:val="18"/>
              </w:rPr>
              <w:t>$1,500 (combined, not per activity)</w:t>
            </w:r>
          </w:p>
          <w:p w:rsidR="009E464C" w:rsidRPr="009844A2" w:rsidRDefault="009E464C" w:rsidP="009E464C">
            <w:pPr>
              <w:rPr>
                <w:rFonts w:asciiTheme="minorHAnsi" w:hAnsiTheme="minorHAnsi"/>
                <w:sz w:val="18"/>
                <w:szCs w:val="18"/>
              </w:rPr>
            </w:pPr>
          </w:p>
          <w:p w:rsidR="009E464C" w:rsidRPr="009844A2" w:rsidRDefault="009E464C" w:rsidP="009E464C">
            <w:pPr>
              <w:rPr>
                <w:rFonts w:asciiTheme="minorHAnsi" w:hAnsiTheme="minorHAnsi"/>
                <w:sz w:val="18"/>
                <w:szCs w:val="18"/>
              </w:rPr>
            </w:pPr>
          </w:p>
        </w:tc>
      </w:tr>
      <w:tr w:rsidR="009E464C" w:rsidRPr="009844A2" w:rsidTr="00BD0431">
        <w:trPr>
          <w:trHeight w:val="450"/>
        </w:trPr>
        <w:tc>
          <w:tcPr>
            <w:tcW w:w="2662" w:type="dxa"/>
            <w:vAlign w:val="center"/>
          </w:tcPr>
          <w:p w:rsidR="009E464C" w:rsidRPr="009844A2" w:rsidRDefault="009E464C" w:rsidP="009E464C">
            <w:pPr>
              <w:rPr>
                <w:rFonts w:asciiTheme="minorHAnsi" w:hAnsiTheme="minorHAnsi"/>
                <w:b/>
                <w:sz w:val="18"/>
                <w:szCs w:val="18"/>
              </w:rPr>
            </w:pPr>
            <w:r w:rsidRPr="009844A2">
              <w:rPr>
                <w:rFonts w:asciiTheme="minorHAnsi" w:hAnsiTheme="minorHAnsi"/>
                <w:b/>
                <w:sz w:val="18"/>
                <w:szCs w:val="18"/>
              </w:rPr>
              <w:t>Training Related Costs  (required by the school or employer)</w:t>
            </w:r>
          </w:p>
        </w:tc>
        <w:tc>
          <w:tcPr>
            <w:tcW w:w="5380" w:type="dxa"/>
            <w:vAlign w:val="center"/>
          </w:tcPr>
          <w:p w:rsidR="009E464C" w:rsidRPr="009844A2" w:rsidRDefault="009E464C" w:rsidP="009E464C">
            <w:pPr>
              <w:rPr>
                <w:rFonts w:asciiTheme="minorHAnsi" w:hAnsiTheme="minorHAnsi"/>
                <w:sz w:val="18"/>
                <w:szCs w:val="18"/>
              </w:rPr>
            </w:pPr>
          </w:p>
          <w:p w:rsidR="00082750" w:rsidRDefault="007E59DB" w:rsidP="00082750">
            <w:pPr>
              <w:rPr>
                <w:rFonts w:asciiTheme="minorHAnsi" w:hAnsiTheme="minorHAnsi"/>
                <w:sz w:val="18"/>
                <w:szCs w:val="18"/>
              </w:rPr>
            </w:pPr>
            <w:r>
              <w:rPr>
                <w:rFonts w:asciiTheme="minorHAnsi" w:hAnsiTheme="minorHAnsi"/>
                <w:sz w:val="18"/>
                <w:szCs w:val="18"/>
              </w:rPr>
              <w:t xml:space="preserve">Training </w:t>
            </w:r>
            <w:r w:rsidR="002B7B05">
              <w:rPr>
                <w:rFonts w:asciiTheme="minorHAnsi" w:hAnsiTheme="minorHAnsi"/>
                <w:sz w:val="18"/>
                <w:szCs w:val="18"/>
              </w:rPr>
              <w:t>related costs includ</w:t>
            </w:r>
            <w:r>
              <w:rPr>
                <w:rFonts w:asciiTheme="minorHAnsi" w:hAnsiTheme="minorHAnsi"/>
                <w:sz w:val="18"/>
                <w:szCs w:val="18"/>
              </w:rPr>
              <w:t>ing</w:t>
            </w:r>
            <w:r w:rsidR="00082750">
              <w:rPr>
                <w:rFonts w:asciiTheme="minorHAnsi" w:hAnsiTheme="minorHAnsi"/>
                <w:sz w:val="18"/>
                <w:szCs w:val="18"/>
              </w:rPr>
              <w:t xml:space="preserve"> b</w:t>
            </w:r>
            <w:r w:rsidR="009E464C" w:rsidRPr="009844A2">
              <w:rPr>
                <w:rFonts w:asciiTheme="minorHAnsi" w:hAnsiTheme="minorHAnsi"/>
                <w:sz w:val="18"/>
                <w:szCs w:val="18"/>
              </w:rPr>
              <w:t>ooks</w:t>
            </w:r>
            <w:r w:rsidR="00082750">
              <w:rPr>
                <w:rFonts w:asciiTheme="minorHAnsi" w:hAnsiTheme="minorHAnsi"/>
                <w:sz w:val="18"/>
                <w:szCs w:val="18"/>
              </w:rPr>
              <w:t>,</w:t>
            </w:r>
            <w:r w:rsidR="009E464C" w:rsidRPr="009844A2">
              <w:rPr>
                <w:rFonts w:asciiTheme="minorHAnsi" w:hAnsiTheme="minorHAnsi"/>
                <w:sz w:val="18"/>
                <w:szCs w:val="18"/>
              </w:rPr>
              <w:t xml:space="preserve"> tools, uniforms, testing for certification/licensure, </w:t>
            </w:r>
            <w:r w:rsidR="002B7B05">
              <w:rPr>
                <w:rFonts w:asciiTheme="minorHAnsi" w:hAnsiTheme="minorHAnsi"/>
                <w:sz w:val="18"/>
                <w:szCs w:val="18"/>
              </w:rPr>
              <w:t>etc., are considered supportive services.  These items should not be included in ITA’s.</w:t>
            </w:r>
            <w:r w:rsidR="00082750">
              <w:rPr>
                <w:rFonts w:asciiTheme="minorHAnsi" w:hAnsiTheme="minorHAnsi"/>
                <w:sz w:val="18"/>
                <w:szCs w:val="18"/>
              </w:rPr>
              <w:t xml:space="preserve">  </w:t>
            </w:r>
            <w:r w:rsidR="002B7B05">
              <w:rPr>
                <w:rFonts w:asciiTheme="minorHAnsi" w:hAnsiTheme="minorHAnsi"/>
                <w:sz w:val="18"/>
                <w:szCs w:val="18"/>
              </w:rPr>
              <w:t>See Supportive Services Policy for details.</w:t>
            </w:r>
          </w:p>
          <w:p w:rsidR="009E464C" w:rsidRPr="009844A2" w:rsidRDefault="00082750" w:rsidP="00082750">
            <w:pPr>
              <w:rPr>
                <w:rFonts w:asciiTheme="minorHAnsi" w:hAnsiTheme="minorHAnsi"/>
                <w:sz w:val="18"/>
                <w:szCs w:val="18"/>
              </w:rPr>
            </w:pPr>
            <w:r>
              <w:rPr>
                <w:rFonts w:asciiTheme="minorHAnsi" w:hAnsiTheme="minorHAnsi"/>
                <w:sz w:val="18"/>
                <w:szCs w:val="18"/>
              </w:rPr>
              <w:t xml:space="preserve"> </w:t>
            </w:r>
          </w:p>
        </w:tc>
        <w:tc>
          <w:tcPr>
            <w:tcW w:w="3293" w:type="dxa"/>
            <w:vAlign w:val="center"/>
          </w:tcPr>
          <w:p w:rsidR="009E464C" w:rsidRPr="009844A2" w:rsidRDefault="009E464C" w:rsidP="009E464C">
            <w:pPr>
              <w:rPr>
                <w:rFonts w:asciiTheme="minorHAnsi" w:hAnsiTheme="minorHAnsi"/>
                <w:sz w:val="18"/>
                <w:szCs w:val="18"/>
              </w:rPr>
            </w:pPr>
            <w:r w:rsidRPr="009844A2">
              <w:rPr>
                <w:rFonts w:asciiTheme="minorHAnsi" w:hAnsiTheme="minorHAnsi"/>
                <w:sz w:val="18"/>
                <w:szCs w:val="18"/>
              </w:rPr>
              <w:t>N/A</w:t>
            </w:r>
          </w:p>
        </w:tc>
        <w:tc>
          <w:tcPr>
            <w:tcW w:w="3481" w:type="dxa"/>
            <w:vAlign w:val="center"/>
          </w:tcPr>
          <w:p w:rsidR="009E464C" w:rsidRPr="009844A2" w:rsidRDefault="0087564C" w:rsidP="009E464C">
            <w:pPr>
              <w:rPr>
                <w:rFonts w:asciiTheme="minorHAnsi" w:hAnsiTheme="minorHAnsi"/>
                <w:sz w:val="18"/>
                <w:szCs w:val="18"/>
              </w:rPr>
            </w:pPr>
            <w:r>
              <w:rPr>
                <w:rFonts w:asciiTheme="minorHAnsi" w:hAnsiTheme="minorHAnsi"/>
                <w:sz w:val="18"/>
                <w:szCs w:val="18"/>
              </w:rPr>
              <w:t>See Supportive Services Policy</w:t>
            </w:r>
          </w:p>
        </w:tc>
      </w:tr>
      <w:tr w:rsidR="009E464C" w:rsidRPr="009844A2" w:rsidTr="00BD0431">
        <w:trPr>
          <w:trHeight w:val="450"/>
        </w:trPr>
        <w:tc>
          <w:tcPr>
            <w:tcW w:w="2662" w:type="dxa"/>
            <w:vAlign w:val="center"/>
          </w:tcPr>
          <w:p w:rsidR="009E464C" w:rsidRPr="009844A2" w:rsidRDefault="009E464C" w:rsidP="009E464C">
            <w:pPr>
              <w:rPr>
                <w:rFonts w:asciiTheme="minorHAnsi" w:hAnsiTheme="minorHAnsi"/>
                <w:b/>
                <w:sz w:val="18"/>
                <w:szCs w:val="18"/>
              </w:rPr>
            </w:pPr>
            <w:r w:rsidRPr="009844A2">
              <w:rPr>
                <w:rFonts w:asciiTheme="minorHAnsi" w:hAnsiTheme="minorHAnsi"/>
                <w:b/>
                <w:sz w:val="18"/>
                <w:szCs w:val="18"/>
              </w:rPr>
              <w:t>Bachelor’s Degree Programs</w:t>
            </w:r>
          </w:p>
        </w:tc>
        <w:tc>
          <w:tcPr>
            <w:tcW w:w="5380" w:type="dxa"/>
            <w:vAlign w:val="center"/>
          </w:tcPr>
          <w:p w:rsidR="009E464C" w:rsidRPr="009844A2" w:rsidRDefault="009E464C" w:rsidP="009E464C">
            <w:pPr>
              <w:rPr>
                <w:rFonts w:asciiTheme="minorHAnsi" w:hAnsiTheme="minorHAnsi"/>
                <w:sz w:val="18"/>
                <w:szCs w:val="18"/>
              </w:rPr>
            </w:pPr>
            <w:r w:rsidRPr="009844A2">
              <w:rPr>
                <w:rFonts w:asciiTheme="minorHAnsi" w:hAnsiTheme="minorHAnsi"/>
                <w:sz w:val="18"/>
                <w:szCs w:val="18"/>
              </w:rPr>
              <w:t>Should a Bachelor’s Degree Program be requested by a participant</w:t>
            </w:r>
            <w:r w:rsidR="00266BB7">
              <w:rPr>
                <w:rFonts w:asciiTheme="minorHAnsi" w:hAnsiTheme="minorHAnsi"/>
                <w:sz w:val="18"/>
                <w:szCs w:val="18"/>
              </w:rPr>
              <w:t>,</w:t>
            </w:r>
            <w:r w:rsidRPr="009844A2">
              <w:rPr>
                <w:rFonts w:asciiTheme="minorHAnsi" w:hAnsiTheme="minorHAnsi"/>
                <w:sz w:val="18"/>
                <w:szCs w:val="18"/>
              </w:rPr>
              <w:t xml:space="preserve"> it must be approved by the appropriate workforce board’s Executive Director</w:t>
            </w:r>
            <w:r w:rsidR="007E59DB">
              <w:rPr>
                <w:rFonts w:asciiTheme="minorHAnsi" w:hAnsiTheme="minorHAnsi"/>
                <w:sz w:val="18"/>
                <w:szCs w:val="18"/>
              </w:rPr>
              <w:t>.</w:t>
            </w:r>
          </w:p>
        </w:tc>
        <w:tc>
          <w:tcPr>
            <w:tcW w:w="3293" w:type="dxa"/>
            <w:vAlign w:val="center"/>
          </w:tcPr>
          <w:p w:rsidR="009E464C" w:rsidRPr="009844A2" w:rsidRDefault="009E464C" w:rsidP="009E464C">
            <w:pPr>
              <w:rPr>
                <w:rFonts w:asciiTheme="minorHAnsi" w:hAnsiTheme="minorHAnsi"/>
                <w:sz w:val="18"/>
                <w:szCs w:val="18"/>
              </w:rPr>
            </w:pPr>
            <w:r w:rsidRPr="009844A2">
              <w:rPr>
                <w:rFonts w:asciiTheme="minorHAnsi" w:hAnsiTheme="minorHAnsi"/>
                <w:sz w:val="18"/>
                <w:szCs w:val="18"/>
              </w:rPr>
              <w:t>Must be complete within 2 years</w:t>
            </w:r>
          </w:p>
        </w:tc>
        <w:tc>
          <w:tcPr>
            <w:tcW w:w="3481" w:type="dxa"/>
            <w:vAlign w:val="center"/>
          </w:tcPr>
          <w:p w:rsidR="009E464C" w:rsidRPr="009844A2" w:rsidRDefault="009E464C" w:rsidP="009E464C">
            <w:pPr>
              <w:rPr>
                <w:rFonts w:asciiTheme="minorHAnsi" w:hAnsiTheme="minorHAnsi"/>
                <w:sz w:val="18"/>
                <w:szCs w:val="18"/>
              </w:rPr>
            </w:pPr>
            <w:r w:rsidRPr="009844A2">
              <w:rPr>
                <w:rFonts w:asciiTheme="minorHAnsi" w:hAnsiTheme="minorHAnsi"/>
                <w:sz w:val="18"/>
                <w:szCs w:val="18"/>
              </w:rPr>
              <w:t xml:space="preserve"> </w:t>
            </w:r>
          </w:p>
          <w:p w:rsidR="009E464C" w:rsidRPr="009844A2" w:rsidRDefault="009E464C" w:rsidP="009E464C">
            <w:pPr>
              <w:rPr>
                <w:rFonts w:asciiTheme="minorHAnsi" w:hAnsiTheme="minorHAnsi"/>
                <w:sz w:val="18"/>
                <w:szCs w:val="18"/>
              </w:rPr>
            </w:pPr>
            <w:r w:rsidRPr="009844A2">
              <w:rPr>
                <w:rFonts w:asciiTheme="minorHAnsi" w:hAnsiTheme="minorHAnsi"/>
                <w:sz w:val="18"/>
                <w:szCs w:val="18"/>
              </w:rPr>
              <w:t xml:space="preserve">$6,000 per year </w:t>
            </w:r>
          </w:p>
          <w:p w:rsidR="009E464C" w:rsidRPr="009844A2" w:rsidRDefault="009E464C" w:rsidP="009E464C">
            <w:pPr>
              <w:rPr>
                <w:rFonts w:asciiTheme="minorHAnsi" w:hAnsiTheme="minorHAnsi"/>
                <w:sz w:val="18"/>
                <w:szCs w:val="18"/>
              </w:rPr>
            </w:pPr>
          </w:p>
        </w:tc>
      </w:tr>
    </w:tbl>
    <w:p w:rsidR="005D5B83" w:rsidRPr="009844A2" w:rsidRDefault="005D5B83">
      <w:pPr>
        <w:rPr>
          <w:rFonts w:asciiTheme="minorHAnsi" w:hAnsiTheme="minorHAnsi"/>
        </w:rPr>
      </w:pPr>
    </w:p>
    <w:p w:rsidR="0002490F" w:rsidRPr="009844A2" w:rsidRDefault="0002490F">
      <w:pPr>
        <w:rPr>
          <w:rFonts w:asciiTheme="minorHAnsi" w:hAnsiTheme="minorHAnsi"/>
        </w:rPr>
      </w:pPr>
      <w:r w:rsidRPr="009844A2">
        <w:rPr>
          <w:rFonts w:asciiTheme="minorHAnsi" w:hAnsiTheme="minorHAnsi"/>
        </w:rPr>
        <w:t>All training scholarships (ITA’s) must be approv</w:t>
      </w:r>
      <w:r w:rsidR="0086799F" w:rsidRPr="009844A2">
        <w:rPr>
          <w:rFonts w:asciiTheme="minorHAnsi" w:hAnsiTheme="minorHAnsi"/>
        </w:rPr>
        <w:t>ed</w:t>
      </w:r>
      <w:bookmarkStart w:id="0" w:name="_GoBack"/>
      <w:bookmarkEnd w:id="0"/>
      <w:r w:rsidR="0086799F" w:rsidRPr="009844A2">
        <w:rPr>
          <w:rFonts w:asciiTheme="minorHAnsi" w:hAnsiTheme="minorHAnsi"/>
        </w:rPr>
        <w:t xml:space="preserve"> by the SC Works</w:t>
      </w:r>
      <w:r w:rsidRPr="009844A2">
        <w:rPr>
          <w:rFonts w:asciiTheme="minorHAnsi" w:hAnsiTheme="minorHAnsi"/>
        </w:rPr>
        <w:t xml:space="preserve"> Project Director or designee using the above guidelines.  A waiver may be submitted to the </w:t>
      </w:r>
      <w:r w:rsidR="0086799F" w:rsidRPr="009844A2">
        <w:rPr>
          <w:rFonts w:asciiTheme="minorHAnsi" w:hAnsiTheme="minorHAnsi"/>
        </w:rPr>
        <w:t>appropriate workforce b</w:t>
      </w:r>
      <w:r w:rsidRPr="009844A2">
        <w:rPr>
          <w:rFonts w:asciiTheme="minorHAnsi" w:hAnsiTheme="minorHAnsi"/>
        </w:rPr>
        <w:t xml:space="preserve">oard office should a client be eligible and suitable for training outside the scope of the above boundaries. Labor Market Information is required with waiver requests. </w:t>
      </w:r>
    </w:p>
    <w:sectPr w:rsidR="0002490F" w:rsidRPr="009844A2" w:rsidSect="00BD04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90161"/>
    <w:multiLevelType w:val="hybridMultilevel"/>
    <w:tmpl w:val="1D9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3676C"/>
    <w:multiLevelType w:val="hybridMultilevel"/>
    <w:tmpl w:val="CDBA0ED4"/>
    <w:lvl w:ilvl="0" w:tplc="B6BE25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A7344E"/>
    <w:multiLevelType w:val="hybridMultilevel"/>
    <w:tmpl w:val="A0EAD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C248B9"/>
    <w:multiLevelType w:val="hybridMultilevel"/>
    <w:tmpl w:val="064CF1E4"/>
    <w:lvl w:ilvl="0" w:tplc="E59637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D7177"/>
    <w:multiLevelType w:val="hybridMultilevel"/>
    <w:tmpl w:val="6B24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FF"/>
    <w:rsid w:val="000169E7"/>
    <w:rsid w:val="0002490F"/>
    <w:rsid w:val="00082750"/>
    <w:rsid w:val="0018676B"/>
    <w:rsid w:val="00266BB7"/>
    <w:rsid w:val="002B7B05"/>
    <w:rsid w:val="003039F3"/>
    <w:rsid w:val="00315986"/>
    <w:rsid w:val="003F1B95"/>
    <w:rsid w:val="004564CA"/>
    <w:rsid w:val="00492BF6"/>
    <w:rsid w:val="004A7EE6"/>
    <w:rsid w:val="004C2815"/>
    <w:rsid w:val="00502791"/>
    <w:rsid w:val="00540938"/>
    <w:rsid w:val="005D5B83"/>
    <w:rsid w:val="006D5DD8"/>
    <w:rsid w:val="006F5348"/>
    <w:rsid w:val="00766830"/>
    <w:rsid w:val="007E529A"/>
    <w:rsid w:val="007E59DB"/>
    <w:rsid w:val="0086799F"/>
    <w:rsid w:val="0087564C"/>
    <w:rsid w:val="00970DD9"/>
    <w:rsid w:val="009844A2"/>
    <w:rsid w:val="009E464C"/>
    <w:rsid w:val="00A5768E"/>
    <w:rsid w:val="00AB6B56"/>
    <w:rsid w:val="00B03F07"/>
    <w:rsid w:val="00B34BD9"/>
    <w:rsid w:val="00B47D3E"/>
    <w:rsid w:val="00B83CFF"/>
    <w:rsid w:val="00BB3F5A"/>
    <w:rsid w:val="00BD0431"/>
    <w:rsid w:val="00C37279"/>
    <w:rsid w:val="00CC7240"/>
    <w:rsid w:val="00CD1869"/>
    <w:rsid w:val="00DB2ABA"/>
    <w:rsid w:val="00DE61FA"/>
    <w:rsid w:val="00E6571F"/>
    <w:rsid w:val="00EE5B38"/>
    <w:rsid w:val="00F52600"/>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8EDBBB-2977-4758-A28C-306D7561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C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E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8CEF-A711-478D-91B9-1774ADD2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bconnelly</dc:creator>
  <cp:keywords/>
  <dc:description/>
  <cp:lastModifiedBy>Eva Anagnostis</cp:lastModifiedBy>
  <cp:revision>2</cp:revision>
  <cp:lastPrinted>2014-09-18T11:58:00Z</cp:lastPrinted>
  <dcterms:created xsi:type="dcterms:W3CDTF">2017-06-13T16:37:00Z</dcterms:created>
  <dcterms:modified xsi:type="dcterms:W3CDTF">2017-06-29T14:15:00Z</dcterms:modified>
</cp:coreProperties>
</file>