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1E" w:rsidRPr="00843BF0" w:rsidRDefault="0030131E" w:rsidP="0030131E">
      <w:pPr>
        <w:widowControl/>
        <w:pBdr>
          <w:top w:val="single" w:sz="4" w:space="1" w:color="auto"/>
          <w:left w:val="single" w:sz="4" w:space="4" w:color="auto"/>
          <w:bottom w:val="single" w:sz="4" w:space="1" w:color="auto"/>
          <w:right w:val="single" w:sz="4" w:space="0" w:color="auto"/>
        </w:pBdr>
        <w:autoSpaceDE/>
        <w:autoSpaceDN/>
        <w:ind w:right="5130"/>
        <w:jc w:val="both"/>
        <w:rPr>
          <w:rFonts w:asciiTheme="minorHAnsi" w:eastAsia="Times New Roman" w:hAnsiTheme="minorHAnsi" w:cs="Times New Roman"/>
          <w:b/>
          <w:sz w:val="32"/>
          <w:szCs w:val="36"/>
        </w:rPr>
      </w:pPr>
      <w:r w:rsidRPr="00843BF0">
        <w:rPr>
          <w:rFonts w:asciiTheme="minorHAnsi" w:eastAsia="Times New Roman" w:hAnsiTheme="minorHAnsi" w:cs="Times New Roman"/>
          <w:b/>
          <w:sz w:val="32"/>
          <w:szCs w:val="36"/>
        </w:rPr>
        <w:t>INSTRUCTION LETTER</w:t>
      </w:r>
    </w:p>
    <w:p w:rsidR="0030131E" w:rsidRPr="00F82ABA" w:rsidRDefault="0030131E" w:rsidP="0030131E">
      <w:pPr>
        <w:widowControl/>
        <w:autoSpaceDE/>
        <w:autoSpaceDN/>
        <w:ind w:left="4320" w:hanging="4320"/>
        <w:rPr>
          <w:rFonts w:asciiTheme="minorHAnsi" w:eastAsia="Times New Roman" w:hAnsiTheme="minorHAnsi" w:cs="Times New Roman"/>
          <w:b/>
          <w:sz w:val="24"/>
          <w:szCs w:val="24"/>
        </w:rPr>
      </w:pPr>
    </w:p>
    <w:p w:rsidR="0030131E" w:rsidRPr="00843BF0" w:rsidRDefault="00387748" w:rsidP="0030131E">
      <w:pPr>
        <w:widowControl/>
        <w:tabs>
          <w:tab w:val="center" w:pos="4320"/>
          <w:tab w:val="right" w:pos="8640"/>
        </w:tabs>
        <w:autoSpaceDE/>
        <w:autoSpaceDN/>
        <w:rPr>
          <w:rFonts w:asciiTheme="minorHAnsi" w:eastAsia="Times New Roman" w:hAnsiTheme="minorHAnsi" w:cs="Times New Roman"/>
        </w:rPr>
      </w:pPr>
      <w:r>
        <w:rPr>
          <w:rFonts w:asciiTheme="minorHAnsi" w:eastAsia="Times New Roman" w:hAnsiTheme="minorHAnsi" w:cs="Times New Roman"/>
          <w:b/>
        </w:rPr>
        <w:t xml:space="preserve">REGIONAL </w:t>
      </w:r>
      <w:r w:rsidR="0030131E" w:rsidRPr="00843BF0">
        <w:rPr>
          <w:rFonts w:asciiTheme="minorHAnsi" w:eastAsia="Times New Roman" w:hAnsiTheme="minorHAnsi" w:cs="Times New Roman"/>
          <w:b/>
        </w:rPr>
        <w:t>INSTRUCTION NUMBER:</w:t>
      </w:r>
      <w:r w:rsidR="0030131E" w:rsidRPr="00843BF0">
        <w:rPr>
          <w:rFonts w:asciiTheme="minorHAnsi" w:eastAsia="Times New Roman" w:hAnsiTheme="minorHAnsi" w:cs="Times New Roman"/>
          <w:b/>
        </w:rPr>
        <w:tab/>
        <w:t xml:space="preserve">WIOA </w:t>
      </w:r>
      <w:r w:rsidR="0030131E" w:rsidRPr="00843BF0">
        <w:rPr>
          <w:rFonts w:asciiTheme="minorHAnsi" w:eastAsia="Times New Roman" w:hAnsiTheme="minorHAnsi" w:cs="Times New Roman"/>
          <w:b/>
        </w:rPr>
        <w:fldChar w:fldCharType="begin"/>
      </w:r>
      <w:r w:rsidR="0030131E" w:rsidRPr="00843BF0">
        <w:rPr>
          <w:rFonts w:asciiTheme="minorHAnsi" w:eastAsia="Times New Roman" w:hAnsiTheme="minorHAnsi" w:cs="Times New Roman"/>
          <w:b/>
        </w:rPr>
        <w:instrText xml:space="preserve"> AUTOTEXT  " Blank"  \* MERGEFORMAT </w:instrText>
      </w:r>
      <w:r w:rsidR="0030131E" w:rsidRPr="00843BF0">
        <w:rPr>
          <w:rFonts w:asciiTheme="minorHAnsi" w:eastAsia="Times New Roman" w:hAnsiTheme="minorHAnsi" w:cs="Times New Roman"/>
          <w:b/>
        </w:rPr>
        <w:fldChar w:fldCharType="separate"/>
      </w:r>
      <w:r w:rsidR="0030131E" w:rsidRPr="00843BF0">
        <w:rPr>
          <w:rFonts w:asciiTheme="minorHAnsi" w:eastAsia="Times New Roman" w:hAnsiTheme="minorHAnsi" w:cs="Times New Roman"/>
          <w:b/>
        </w:rPr>
        <w:fldChar w:fldCharType="begin"/>
      </w:r>
      <w:r w:rsidR="0030131E" w:rsidRPr="00843BF0">
        <w:rPr>
          <w:rFonts w:asciiTheme="minorHAnsi" w:eastAsia="Times New Roman" w:hAnsiTheme="minorHAnsi" w:cs="Times New Roman"/>
          <w:b/>
        </w:rPr>
        <w:instrText xml:space="preserve"> AUTOTEXT  " Blank" </w:instrText>
      </w:r>
      <w:r w:rsidR="0030131E" w:rsidRPr="00843BF0">
        <w:rPr>
          <w:rFonts w:asciiTheme="minorHAnsi" w:eastAsia="Times New Roman" w:hAnsiTheme="minorHAnsi" w:cs="Times New Roman"/>
          <w:b/>
        </w:rPr>
        <w:fldChar w:fldCharType="separate"/>
      </w:r>
      <w:r w:rsidR="004D779F" w:rsidRPr="00843BF0">
        <w:rPr>
          <w:rFonts w:asciiTheme="minorHAnsi" w:eastAsia="Times New Roman" w:hAnsiTheme="minorHAnsi" w:cs="Times New Roman"/>
        </w:rPr>
        <w:t>17-04</w:t>
      </w:r>
    </w:p>
    <w:p w:rsidR="0030131E" w:rsidRPr="00843BF0" w:rsidRDefault="0030131E" w:rsidP="0030131E">
      <w:pPr>
        <w:widowControl/>
        <w:tabs>
          <w:tab w:val="center" w:pos="4320"/>
          <w:tab w:val="right" w:pos="8640"/>
        </w:tabs>
        <w:autoSpaceDE/>
        <w:autoSpaceDN/>
        <w:rPr>
          <w:rFonts w:asciiTheme="minorHAnsi" w:eastAsia="Times New Roman" w:hAnsiTheme="minorHAnsi" w:cs="Times New Roman"/>
        </w:rPr>
      </w:pPr>
      <w:r w:rsidRPr="00843BF0">
        <w:rPr>
          <w:rFonts w:asciiTheme="minorHAnsi" w:eastAsia="Times New Roman" w:hAnsiTheme="minorHAnsi" w:cs="Times New Roman"/>
          <w:b/>
        </w:rPr>
        <w:fldChar w:fldCharType="end"/>
      </w:r>
    </w:p>
    <w:p w:rsidR="0030131E" w:rsidRPr="00843BF0" w:rsidRDefault="0030131E" w:rsidP="0030131E">
      <w:pPr>
        <w:tabs>
          <w:tab w:val="left" w:pos="1440"/>
        </w:tabs>
        <w:ind w:left="4320" w:hanging="4320"/>
        <w:rPr>
          <w:rFonts w:asciiTheme="minorHAnsi" w:hAnsiTheme="minorHAnsi" w:cs="Times New Roman"/>
        </w:rPr>
      </w:pPr>
      <w:r w:rsidRPr="00843BF0">
        <w:rPr>
          <w:rFonts w:asciiTheme="minorHAnsi" w:eastAsia="Times New Roman" w:hAnsiTheme="minorHAnsi" w:cs="Times New Roman"/>
          <w:b/>
        </w:rPr>
        <w:fldChar w:fldCharType="end"/>
      </w:r>
      <w:r w:rsidRPr="00843BF0">
        <w:rPr>
          <w:rFonts w:asciiTheme="minorHAnsi" w:hAnsiTheme="minorHAnsi" w:cs="Times New Roman"/>
          <w:b/>
        </w:rPr>
        <w:t xml:space="preserve">TO: </w:t>
      </w:r>
      <w:r w:rsidR="004D779F" w:rsidRPr="00843BF0">
        <w:rPr>
          <w:rFonts w:asciiTheme="minorHAnsi" w:hAnsiTheme="minorHAnsi" w:cs="Times New Roman"/>
          <w:b/>
        </w:rPr>
        <w:t xml:space="preserve"> </w:t>
      </w:r>
      <w:r w:rsidR="005B7686">
        <w:rPr>
          <w:rFonts w:asciiTheme="minorHAnsi" w:hAnsiTheme="minorHAnsi" w:cs="Times New Roman"/>
          <w:b/>
        </w:rPr>
        <w:tab/>
      </w:r>
      <w:bookmarkStart w:id="0" w:name="_GoBack"/>
      <w:r w:rsidR="004D779F" w:rsidRPr="00113406">
        <w:rPr>
          <w:rFonts w:asciiTheme="minorHAnsi" w:hAnsiTheme="minorHAnsi" w:cs="Times New Roman"/>
        </w:rPr>
        <w:t>SC Works Operator/Service Provider</w:t>
      </w:r>
      <w:r w:rsidRPr="00113406">
        <w:rPr>
          <w:rFonts w:asciiTheme="minorHAnsi" w:hAnsiTheme="minorHAnsi" w:cs="Times New Roman"/>
        </w:rPr>
        <w:tab/>
      </w:r>
      <w:bookmarkEnd w:id="0"/>
    </w:p>
    <w:p w:rsidR="0030131E" w:rsidRPr="00843BF0" w:rsidRDefault="0030131E" w:rsidP="0030131E">
      <w:pPr>
        <w:tabs>
          <w:tab w:val="left" w:pos="1440"/>
        </w:tabs>
        <w:ind w:left="4320" w:hanging="4320"/>
        <w:rPr>
          <w:rFonts w:asciiTheme="minorHAnsi" w:hAnsiTheme="minorHAnsi" w:cs="Times New Roman"/>
        </w:rPr>
      </w:pPr>
    </w:p>
    <w:p w:rsidR="0030131E" w:rsidRPr="00843BF0" w:rsidRDefault="0030131E" w:rsidP="00966B1B">
      <w:pPr>
        <w:tabs>
          <w:tab w:val="left" w:pos="1440"/>
        </w:tabs>
        <w:jc w:val="both"/>
        <w:rPr>
          <w:rFonts w:asciiTheme="minorHAnsi" w:hAnsiTheme="minorHAnsi" w:cs="Times New Roman"/>
        </w:rPr>
      </w:pPr>
      <w:r w:rsidRPr="00843BF0">
        <w:rPr>
          <w:rFonts w:asciiTheme="minorHAnsi" w:hAnsiTheme="minorHAnsi" w:cs="Times New Roman"/>
          <w:b/>
        </w:rPr>
        <w:t xml:space="preserve">SUBJECT:  </w:t>
      </w:r>
      <w:r w:rsidRPr="00843BF0">
        <w:rPr>
          <w:rFonts w:asciiTheme="minorHAnsi" w:hAnsiTheme="minorHAnsi" w:cs="Times New Roman"/>
          <w:b/>
        </w:rPr>
        <w:tab/>
      </w:r>
      <w:r w:rsidR="00BE648D" w:rsidRPr="00113406">
        <w:rPr>
          <w:rFonts w:asciiTheme="minorHAnsi" w:hAnsiTheme="minorHAnsi" w:cs="Times New Roman"/>
        </w:rPr>
        <w:t>Adult Priority of Services</w:t>
      </w:r>
    </w:p>
    <w:p w:rsidR="0030131E" w:rsidRPr="00843BF0" w:rsidRDefault="0030131E" w:rsidP="0030131E">
      <w:pPr>
        <w:tabs>
          <w:tab w:val="left" w:pos="1440"/>
        </w:tabs>
        <w:ind w:left="4320" w:hanging="4320"/>
        <w:rPr>
          <w:rFonts w:asciiTheme="minorHAnsi" w:hAnsiTheme="minorHAnsi" w:cs="Times New Roman"/>
          <w:b/>
        </w:rPr>
      </w:pPr>
    </w:p>
    <w:p w:rsidR="0030131E" w:rsidRPr="00843BF0" w:rsidRDefault="0030131E" w:rsidP="0030131E">
      <w:pPr>
        <w:tabs>
          <w:tab w:val="left" w:pos="3060"/>
          <w:tab w:val="left" w:pos="6120"/>
        </w:tabs>
        <w:rPr>
          <w:rFonts w:asciiTheme="minorHAnsi" w:hAnsiTheme="minorHAnsi" w:cs="Times New Roman"/>
          <w:b/>
        </w:rPr>
      </w:pPr>
      <w:r w:rsidRPr="00843BF0">
        <w:rPr>
          <w:rFonts w:asciiTheme="minorHAnsi" w:hAnsiTheme="minorHAnsi" w:cs="Times New Roman"/>
          <w:b/>
        </w:rPr>
        <w:t xml:space="preserve">DATE </w:t>
      </w:r>
      <w:r w:rsidRPr="00843BF0">
        <w:rPr>
          <w:rFonts w:asciiTheme="minorHAnsi" w:hAnsiTheme="minorHAnsi" w:cs="Times New Roman"/>
          <w:b/>
        </w:rPr>
        <w:tab/>
      </w:r>
      <w:proofErr w:type="spellStart"/>
      <w:r w:rsidRPr="00843BF0">
        <w:rPr>
          <w:rFonts w:asciiTheme="minorHAnsi" w:hAnsiTheme="minorHAnsi" w:cs="Times New Roman"/>
          <w:b/>
        </w:rPr>
        <w:t>DATE</w:t>
      </w:r>
      <w:proofErr w:type="spellEnd"/>
      <w:r w:rsidRPr="00843BF0">
        <w:rPr>
          <w:rFonts w:asciiTheme="minorHAnsi" w:hAnsiTheme="minorHAnsi" w:cs="Times New Roman"/>
          <w:b/>
        </w:rPr>
        <w:tab/>
      </w:r>
      <w:proofErr w:type="spellStart"/>
      <w:r w:rsidRPr="00843BF0">
        <w:rPr>
          <w:rFonts w:asciiTheme="minorHAnsi" w:hAnsiTheme="minorHAnsi" w:cs="Times New Roman"/>
          <w:b/>
        </w:rPr>
        <w:t>DATE</w:t>
      </w:r>
      <w:proofErr w:type="spellEnd"/>
    </w:p>
    <w:p w:rsidR="0030131E" w:rsidRPr="00843BF0" w:rsidRDefault="0030131E" w:rsidP="0030131E">
      <w:pPr>
        <w:tabs>
          <w:tab w:val="left" w:pos="3060"/>
          <w:tab w:val="left" w:pos="6120"/>
        </w:tabs>
        <w:rPr>
          <w:rFonts w:asciiTheme="minorHAnsi" w:hAnsiTheme="minorHAnsi" w:cs="Times New Roman"/>
          <w:u w:val="single"/>
        </w:rPr>
      </w:pPr>
      <w:r w:rsidRPr="00843BF0">
        <w:rPr>
          <w:rFonts w:asciiTheme="minorHAnsi" w:hAnsiTheme="minorHAnsi" w:cs="Times New Roman"/>
          <w:b/>
        </w:rPr>
        <w:t xml:space="preserve">ISSUED:  </w:t>
      </w:r>
      <w:r w:rsidRPr="00843BF0">
        <w:rPr>
          <w:rFonts w:asciiTheme="minorHAnsi" w:hAnsiTheme="minorHAnsi" w:cs="Times New Roman"/>
          <w:u w:val="single"/>
        </w:rPr>
        <w:fldChar w:fldCharType="begin"/>
      </w:r>
      <w:r w:rsidRPr="00843BF0">
        <w:rPr>
          <w:rFonts w:asciiTheme="minorHAnsi" w:hAnsiTheme="minorHAnsi" w:cs="Times New Roman"/>
          <w:u w:val="single"/>
        </w:rPr>
        <w:instrText xml:space="preserve"> DATE  \@ "MMMM d, yyyy"  \* MERGEFORMAT </w:instrText>
      </w:r>
      <w:r w:rsidRPr="00843BF0">
        <w:rPr>
          <w:rFonts w:asciiTheme="minorHAnsi" w:hAnsiTheme="minorHAnsi" w:cs="Times New Roman"/>
          <w:u w:val="single"/>
        </w:rPr>
        <w:fldChar w:fldCharType="separate"/>
      </w:r>
      <w:r w:rsidR="00113406">
        <w:rPr>
          <w:rFonts w:asciiTheme="minorHAnsi" w:hAnsiTheme="minorHAnsi" w:cs="Times New Roman"/>
          <w:noProof/>
          <w:u w:val="single"/>
        </w:rPr>
        <w:t>June 29, 2017</w:t>
      </w:r>
      <w:r w:rsidRPr="00843BF0">
        <w:rPr>
          <w:rFonts w:asciiTheme="minorHAnsi" w:hAnsiTheme="minorHAnsi" w:cs="Times New Roman"/>
          <w:u w:val="single"/>
        </w:rPr>
        <w:fldChar w:fldCharType="end"/>
      </w:r>
      <w:r w:rsidRPr="00843BF0">
        <w:rPr>
          <w:rFonts w:asciiTheme="minorHAnsi" w:hAnsiTheme="minorHAnsi" w:cs="Times New Roman"/>
        </w:rPr>
        <w:tab/>
      </w:r>
      <w:r w:rsidRPr="00843BF0">
        <w:rPr>
          <w:rFonts w:asciiTheme="minorHAnsi" w:hAnsiTheme="minorHAnsi" w:cs="Times New Roman"/>
          <w:b/>
        </w:rPr>
        <w:t>EFFECTIVE</w:t>
      </w:r>
      <w:r w:rsidRPr="00843BF0">
        <w:rPr>
          <w:rFonts w:asciiTheme="minorHAnsi" w:hAnsiTheme="minorHAnsi" w:cs="Times New Roman"/>
        </w:rPr>
        <w:t xml:space="preserve">: </w:t>
      </w:r>
      <w:r w:rsidRPr="00843BF0">
        <w:rPr>
          <w:rFonts w:asciiTheme="minorHAnsi" w:hAnsiTheme="minorHAnsi" w:cs="Times New Roman"/>
          <w:u w:val="single"/>
        </w:rPr>
        <w:t xml:space="preserve"> </w:t>
      </w:r>
      <w:r w:rsidR="004D779F" w:rsidRPr="00843BF0">
        <w:rPr>
          <w:rFonts w:asciiTheme="minorHAnsi" w:hAnsiTheme="minorHAnsi" w:cs="Times New Roman"/>
          <w:u w:val="single"/>
        </w:rPr>
        <w:t>July 1, 2017</w:t>
      </w:r>
      <w:r w:rsidRPr="00843BF0">
        <w:rPr>
          <w:rFonts w:asciiTheme="minorHAnsi" w:hAnsiTheme="minorHAnsi" w:cs="Times New Roman"/>
        </w:rPr>
        <w:tab/>
      </w:r>
      <w:r w:rsidRPr="00843BF0">
        <w:rPr>
          <w:rFonts w:asciiTheme="minorHAnsi" w:hAnsiTheme="minorHAnsi" w:cs="Times New Roman"/>
          <w:b/>
        </w:rPr>
        <w:t xml:space="preserve">EXPIRES: </w:t>
      </w:r>
      <w:r w:rsidRPr="00843BF0">
        <w:rPr>
          <w:rFonts w:asciiTheme="minorHAnsi" w:hAnsiTheme="minorHAnsi" w:cs="Times New Roman"/>
          <w:u w:val="single"/>
        </w:rPr>
        <w:t>Indefinitely</w:t>
      </w:r>
    </w:p>
    <w:p w:rsidR="0030131E" w:rsidRPr="00843BF0" w:rsidRDefault="0030131E" w:rsidP="0030131E">
      <w:pPr>
        <w:tabs>
          <w:tab w:val="left" w:pos="3060"/>
          <w:tab w:val="left" w:pos="6120"/>
        </w:tabs>
        <w:rPr>
          <w:rFonts w:asciiTheme="minorHAnsi" w:hAnsiTheme="minorHAnsi" w:cs="Times New Roman"/>
          <w:u w:val="single"/>
        </w:rPr>
      </w:pPr>
    </w:p>
    <w:p w:rsidR="008B0FA1" w:rsidRPr="00843BF0" w:rsidRDefault="006418A6" w:rsidP="008B0FA1">
      <w:pPr>
        <w:jc w:val="both"/>
        <w:rPr>
          <w:rFonts w:asciiTheme="minorHAnsi" w:hAnsiTheme="minorHAnsi" w:cs="Times New Roman"/>
          <w:color w:val="0F0F0F"/>
          <w:w w:val="105"/>
        </w:rPr>
      </w:pPr>
      <w:r w:rsidRPr="00843BF0">
        <w:rPr>
          <w:rFonts w:asciiTheme="minorHAnsi" w:hAnsiTheme="minorHAnsi" w:cs="Times New Roman"/>
          <w:b/>
          <w:color w:val="0F0F0F"/>
          <w:w w:val="105"/>
        </w:rPr>
        <w:t xml:space="preserve">PURPOSE: </w:t>
      </w:r>
      <w:r w:rsidR="004D779F" w:rsidRPr="00843BF0">
        <w:rPr>
          <w:rFonts w:asciiTheme="minorHAnsi" w:hAnsiTheme="minorHAnsi" w:cs="Times New Roman"/>
          <w:color w:val="0F0F0F"/>
          <w:w w:val="105"/>
        </w:rPr>
        <w:t>To outline key provisions and changes to priority of service in the Workforce Innovation and Opportunity Act (WIOA) adult program.</w:t>
      </w:r>
    </w:p>
    <w:p w:rsidR="004D779F" w:rsidRPr="00843BF0" w:rsidRDefault="004D779F" w:rsidP="008B0FA1">
      <w:pPr>
        <w:jc w:val="both"/>
        <w:rPr>
          <w:rFonts w:asciiTheme="minorHAnsi" w:hAnsiTheme="minorHAnsi" w:cs="Times New Roman"/>
          <w:color w:val="0F0F0F"/>
          <w:w w:val="105"/>
        </w:rPr>
      </w:pPr>
    </w:p>
    <w:p w:rsidR="000851F5" w:rsidRPr="00843BF0" w:rsidRDefault="004D779F" w:rsidP="000851F5">
      <w:pPr>
        <w:jc w:val="both"/>
        <w:rPr>
          <w:rFonts w:asciiTheme="minorHAnsi" w:hAnsiTheme="minorHAnsi" w:cs="Times New Roman"/>
          <w:color w:val="0F0F0F"/>
          <w:w w:val="105"/>
        </w:rPr>
      </w:pPr>
      <w:r w:rsidRPr="00843BF0">
        <w:rPr>
          <w:rFonts w:asciiTheme="minorHAnsi" w:hAnsiTheme="minorHAnsi" w:cs="Times New Roman"/>
          <w:b/>
          <w:color w:val="0F0F0F"/>
          <w:w w:val="105"/>
        </w:rPr>
        <w:t>BACKGROUND:</w:t>
      </w:r>
      <w:r w:rsidRPr="00843BF0">
        <w:rPr>
          <w:rFonts w:asciiTheme="minorHAnsi" w:hAnsiTheme="minorHAnsi" w:cs="Times New Roman"/>
          <w:color w:val="0F0F0F"/>
          <w:w w:val="105"/>
        </w:rPr>
        <w:t xml:space="preserve"> </w:t>
      </w:r>
      <w:r w:rsidR="000851F5" w:rsidRPr="00843BF0">
        <w:rPr>
          <w:rFonts w:asciiTheme="minorHAnsi" w:hAnsiTheme="minorHAnsi" w:cs="Times New Roman"/>
          <w:color w:val="0F0F0F"/>
          <w:w w:val="105"/>
        </w:rPr>
        <w:t>The Workforce Innovation and Opportunity Act (WIOA) Adult Program eligibility requirements remain mostly consistent with Workforce Investment Act (WIA), but include significant changes to the service priority provisions.</w:t>
      </w:r>
    </w:p>
    <w:p w:rsidR="000851F5" w:rsidRPr="00843BF0" w:rsidRDefault="000851F5" w:rsidP="000851F5">
      <w:pPr>
        <w:jc w:val="both"/>
        <w:rPr>
          <w:rFonts w:asciiTheme="minorHAnsi" w:hAnsiTheme="minorHAnsi" w:cs="Times New Roman"/>
          <w:color w:val="0F0F0F"/>
          <w:w w:val="105"/>
        </w:rPr>
      </w:pPr>
    </w:p>
    <w:p w:rsidR="000851F5" w:rsidRPr="00843BF0" w:rsidRDefault="000851F5" w:rsidP="000851F5">
      <w:pPr>
        <w:jc w:val="both"/>
        <w:rPr>
          <w:rFonts w:asciiTheme="minorHAnsi" w:hAnsiTheme="minorHAnsi" w:cs="Times New Roman"/>
          <w:color w:val="0F0F0F"/>
          <w:w w:val="105"/>
        </w:rPr>
      </w:pPr>
      <w:r w:rsidRPr="00843BF0">
        <w:rPr>
          <w:rFonts w:asciiTheme="minorHAnsi" w:hAnsiTheme="minorHAnsi" w:cs="Times New Roman"/>
          <w:color w:val="0F0F0F"/>
          <w:w w:val="105"/>
        </w:rPr>
        <w:t>Consistent with WIA, priority for Adult Program services must be given to recipients of public assistance and other low-income individuals, with added priority for individuals who are basic skills deficient.  Under WIA, this priority applies only when Adult Program funds are restricted.  Under WIOA, however, priority access to services by members of this group (public assistance recipients, other low-income groups) applies automatically.</w:t>
      </w:r>
    </w:p>
    <w:p w:rsidR="000851F5" w:rsidRPr="00843BF0" w:rsidRDefault="000851F5" w:rsidP="000851F5">
      <w:pPr>
        <w:jc w:val="both"/>
        <w:rPr>
          <w:rFonts w:asciiTheme="minorHAnsi" w:hAnsiTheme="minorHAnsi" w:cs="Times New Roman"/>
          <w:color w:val="0F0F0F"/>
          <w:w w:val="105"/>
        </w:rPr>
      </w:pPr>
    </w:p>
    <w:p w:rsidR="000851F5" w:rsidRPr="00843BF0" w:rsidRDefault="000851F5" w:rsidP="000851F5">
      <w:pPr>
        <w:jc w:val="both"/>
        <w:rPr>
          <w:rFonts w:asciiTheme="minorHAnsi" w:hAnsiTheme="minorHAnsi" w:cs="Times New Roman"/>
          <w:color w:val="0F0F0F"/>
          <w:w w:val="105"/>
        </w:rPr>
      </w:pPr>
      <w:r w:rsidRPr="00843BF0">
        <w:rPr>
          <w:rFonts w:asciiTheme="minorHAnsi" w:hAnsiTheme="minorHAnsi" w:cs="Times New Roman"/>
          <w:color w:val="0F0F0F"/>
          <w:w w:val="105"/>
        </w:rPr>
        <w:t xml:space="preserve">Per Training and Employment Guidance Letter (TEGL 3-15), Adult Program applicants must meet basic eligibility requirements and any other service priority criteria in effect for the local region. </w:t>
      </w:r>
    </w:p>
    <w:p w:rsidR="004D779F" w:rsidRPr="00843BF0" w:rsidRDefault="004D779F" w:rsidP="004D779F">
      <w:pPr>
        <w:jc w:val="both"/>
        <w:rPr>
          <w:rFonts w:asciiTheme="minorHAnsi" w:hAnsiTheme="minorHAnsi" w:cs="Times New Roman"/>
        </w:rPr>
      </w:pPr>
    </w:p>
    <w:p w:rsidR="000851F5" w:rsidRPr="00843BF0" w:rsidRDefault="00043165" w:rsidP="005B7686">
      <w:pPr>
        <w:spacing w:line="295" w:lineRule="auto"/>
        <w:ind w:right="115"/>
        <w:jc w:val="both"/>
        <w:rPr>
          <w:rFonts w:asciiTheme="minorHAnsi" w:hAnsiTheme="minorHAnsi" w:cs="Times New Roman"/>
          <w:color w:val="0C0C0C"/>
          <w:w w:val="105"/>
        </w:rPr>
      </w:pPr>
      <w:r w:rsidRPr="00843BF0">
        <w:rPr>
          <w:rFonts w:asciiTheme="minorHAnsi" w:hAnsiTheme="minorHAnsi" w:cs="Times New Roman"/>
          <w:b/>
          <w:color w:val="0C0C0C"/>
          <w:w w:val="105"/>
        </w:rPr>
        <w:t>P</w:t>
      </w:r>
      <w:r w:rsidR="006418A6" w:rsidRPr="00843BF0">
        <w:rPr>
          <w:rFonts w:asciiTheme="minorHAnsi" w:hAnsiTheme="minorHAnsi" w:cs="Times New Roman"/>
          <w:b/>
          <w:color w:val="0C0C0C"/>
          <w:w w:val="105"/>
        </w:rPr>
        <w:t>OLICY</w:t>
      </w:r>
      <w:r w:rsidR="006418A6" w:rsidRPr="00843BF0">
        <w:rPr>
          <w:rFonts w:asciiTheme="minorHAnsi" w:hAnsiTheme="minorHAnsi" w:cs="Times New Roman"/>
          <w:color w:val="0C0C0C"/>
          <w:w w:val="105"/>
        </w:rPr>
        <w:t xml:space="preserve">: </w:t>
      </w:r>
    </w:p>
    <w:p w:rsidR="000851F5" w:rsidRPr="00843BF0" w:rsidRDefault="000851F5" w:rsidP="009F31DA">
      <w:pPr>
        <w:ind w:right="113"/>
        <w:jc w:val="both"/>
        <w:rPr>
          <w:rFonts w:asciiTheme="minorHAnsi" w:hAnsiTheme="minorHAnsi" w:cs="Times New Roman"/>
          <w:b/>
          <w:color w:val="0C0C0C"/>
          <w:w w:val="105"/>
          <w:u w:val="single"/>
        </w:rPr>
      </w:pPr>
      <w:r w:rsidRPr="00843BF0">
        <w:rPr>
          <w:rFonts w:asciiTheme="minorHAnsi" w:hAnsiTheme="minorHAnsi" w:cs="Times New Roman"/>
          <w:b/>
          <w:color w:val="0C0C0C"/>
          <w:w w:val="105"/>
          <w:u w:val="single"/>
        </w:rPr>
        <w:t>WIOA Adult Eligibility</w:t>
      </w:r>
    </w:p>
    <w:p w:rsidR="000851F5" w:rsidRPr="00843BF0" w:rsidRDefault="000851F5"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To be eligible to receive WIOA services as an adult in the Adult and Dislocated Worker programs, an individual must:</w:t>
      </w:r>
    </w:p>
    <w:p w:rsidR="000851F5" w:rsidRPr="00843BF0" w:rsidRDefault="000851F5" w:rsidP="009F31DA">
      <w:pPr>
        <w:numPr>
          <w:ilvl w:val="0"/>
          <w:numId w:val="15"/>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Be 18 years of age or older;</w:t>
      </w:r>
    </w:p>
    <w:p w:rsidR="000851F5" w:rsidRPr="00843BF0" w:rsidRDefault="000851F5" w:rsidP="009F31DA">
      <w:pPr>
        <w:numPr>
          <w:ilvl w:val="0"/>
          <w:numId w:val="15"/>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Be a citizen or noncitizen authorized to work in the United States; and</w:t>
      </w:r>
    </w:p>
    <w:p w:rsidR="009F31DA" w:rsidRPr="00843BF0" w:rsidRDefault="000851F5" w:rsidP="009F31DA">
      <w:pPr>
        <w:numPr>
          <w:ilvl w:val="0"/>
          <w:numId w:val="15"/>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Meet Military Selective Service registration requirements (males only)</w:t>
      </w:r>
      <w:r w:rsidR="009F31DA" w:rsidRPr="00843BF0">
        <w:rPr>
          <w:rFonts w:asciiTheme="minorHAnsi" w:hAnsiTheme="minorHAnsi" w:cs="Times New Roman"/>
          <w:color w:val="0C0C0C"/>
          <w:w w:val="105"/>
        </w:rPr>
        <w:t>.</w:t>
      </w:r>
    </w:p>
    <w:p w:rsidR="000851F5" w:rsidRPr="00843BF0" w:rsidRDefault="000851F5" w:rsidP="009F31DA">
      <w:pPr>
        <w:ind w:left="720" w:right="113"/>
        <w:jc w:val="both"/>
        <w:rPr>
          <w:rFonts w:asciiTheme="minorHAnsi" w:hAnsiTheme="minorHAnsi" w:cs="Times New Roman"/>
          <w:color w:val="0C0C0C"/>
          <w:w w:val="105"/>
        </w:rPr>
      </w:pPr>
    </w:p>
    <w:p w:rsidR="004D779F"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Adults who receive services from WIOA-funded staff beyond self -service and information must be determined eligible, enrolled and considered a participant for WIOA Title I services. Individualized career services and training services must be given on a priority basis, regardless of funding levels, to:</w:t>
      </w:r>
    </w:p>
    <w:p w:rsidR="009F31DA" w:rsidRPr="00843BF0" w:rsidRDefault="009F31DA" w:rsidP="009F31DA">
      <w:pPr>
        <w:ind w:right="113"/>
        <w:jc w:val="both"/>
        <w:rPr>
          <w:rFonts w:asciiTheme="minorHAnsi" w:hAnsiTheme="minorHAnsi" w:cs="Times New Roman"/>
          <w:color w:val="0C0C0C"/>
          <w:w w:val="105"/>
        </w:rPr>
      </w:pPr>
    </w:p>
    <w:p w:rsidR="004D779F" w:rsidRPr="00843BF0" w:rsidRDefault="004D779F" w:rsidP="009F31DA">
      <w:pPr>
        <w:pStyle w:val="ListParagraph"/>
        <w:numPr>
          <w:ilvl w:val="0"/>
          <w:numId w:val="11"/>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First Priority: Veterans and eligible spouses who are low -income, to include recipients of public assistance, or who are basic skills deficient;</w:t>
      </w:r>
    </w:p>
    <w:p w:rsidR="004D779F" w:rsidRPr="00843BF0" w:rsidRDefault="004D779F" w:rsidP="009F31DA">
      <w:pPr>
        <w:pStyle w:val="ListParagraph"/>
        <w:numPr>
          <w:ilvl w:val="0"/>
          <w:numId w:val="11"/>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Second Priority: Individuals who are low-income, to include recipients of public assistance, or basic skills deficient;</w:t>
      </w:r>
    </w:p>
    <w:p w:rsidR="004D779F" w:rsidRPr="00843BF0" w:rsidRDefault="004D779F" w:rsidP="009F31DA">
      <w:pPr>
        <w:pStyle w:val="ListParagraph"/>
        <w:numPr>
          <w:ilvl w:val="0"/>
          <w:numId w:val="12"/>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lastRenderedPageBreak/>
        <w:t>Third Priority: Veterans and eligible spouses who are not low -income, or are not recipients of public assistance , and are not basic skills deficient; and</w:t>
      </w:r>
    </w:p>
    <w:p w:rsidR="004D779F" w:rsidRPr="00843BF0" w:rsidRDefault="004D779F" w:rsidP="009F31DA">
      <w:pPr>
        <w:pStyle w:val="ListParagraph"/>
        <w:numPr>
          <w:ilvl w:val="0"/>
          <w:numId w:val="12"/>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Last: Individuals outside of the groups given priority. </w:t>
      </w:r>
    </w:p>
    <w:p w:rsidR="009F31DA" w:rsidRPr="00843BF0" w:rsidRDefault="009F31DA" w:rsidP="009F31DA">
      <w:pPr>
        <w:pStyle w:val="ListParagraph"/>
        <w:ind w:left="720" w:right="113" w:firstLine="0"/>
        <w:jc w:val="both"/>
        <w:rPr>
          <w:rFonts w:asciiTheme="minorHAnsi" w:hAnsiTheme="minorHAnsi" w:cs="Times New Roman"/>
          <w:color w:val="0C0C0C"/>
          <w:w w:val="105"/>
        </w:rPr>
      </w:pPr>
    </w:p>
    <w:p w:rsidR="004D779F"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Eligible individuals who do not meet the above priorities may s</w:t>
      </w:r>
      <w:r w:rsidR="00500E31" w:rsidRPr="00843BF0">
        <w:rPr>
          <w:rFonts w:asciiTheme="minorHAnsi" w:hAnsiTheme="minorHAnsi" w:cs="Times New Roman"/>
          <w:color w:val="0C0C0C"/>
          <w:w w:val="105"/>
        </w:rPr>
        <w:t>till be enrolled as participant</w:t>
      </w:r>
      <w:r w:rsidRPr="00843BF0">
        <w:rPr>
          <w:rFonts w:asciiTheme="minorHAnsi" w:hAnsiTheme="minorHAnsi" w:cs="Times New Roman"/>
          <w:color w:val="0C0C0C"/>
          <w:w w:val="105"/>
        </w:rPr>
        <w:t>s in the WIOA adult program. However, effective July 1, 2016, seventy percent (70%) of newly enrolled adult participants must be low-income, to include public assistance recipients, or basic skills deficient. Local Workforce Development Boards (LWDBs) are responsible for establishing local procedures to comply with this policy and for conducting outreach to these priority populations. This priority of service policy is not applicable to participants served as dislocated workers.</w:t>
      </w:r>
    </w:p>
    <w:p w:rsidR="005031B6" w:rsidRDefault="005031B6" w:rsidP="009F31DA">
      <w:pPr>
        <w:ind w:right="113"/>
        <w:jc w:val="both"/>
        <w:rPr>
          <w:rFonts w:asciiTheme="minorHAnsi" w:hAnsiTheme="minorHAnsi" w:cs="Times New Roman"/>
          <w:color w:val="0C0C0C"/>
          <w:w w:val="105"/>
        </w:rPr>
      </w:pPr>
    </w:p>
    <w:p w:rsidR="005031B6" w:rsidRPr="00843BF0" w:rsidRDefault="005031B6" w:rsidP="009F31DA">
      <w:pPr>
        <w:ind w:right="113"/>
        <w:jc w:val="both"/>
        <w:rPr>
          <w:rFonts w:asciiTheme="minorHAnsi" w:hAnsiTheme="minorHAnsi" w:cs="Times New Roman"/>
          <w:color w:val="0C0C0C"/>
          <w:w w:val="105"/>
        </w:rPr>
      </w:pPr>
      <w:r>
        <w:rPr>
          <w:rFonts w:asciiTheme="minorHAnsi" w:hAnsiTheme="minorHAnsi" w:cs="Times New Roman"/>
          <w:color w:val="0C0C0C"/>
          <w:w w:val="105"/>
        </w:rPr>
        <w:t>While seventy percent (70%) of participants must meet the above priorities, the other 30% may be individuals who are not in a priority group.  In order to keep enrollment numbers up, the UWB and GCWDB expect non-priority individuals to be enrolled.  The procedure should be as follows:  after seven (7) to eight (8) individuals meeting the priority have been enrolled, another two (2) to three (3) non-priority individuals should be enrolled.  This should continuously allow the percentage to remain above the state’s minimum of 70%.  Non-priority individuals who meet the self-sufficiency guidelines of 200 percent of the LLSIL should be enrolled first.  All other non-priority individuals must still meet the minimum requirements to be served in the WIOA program listed on page 1.</w:t>
      </w:r>
    </w:p>
    <w:p w:rsidR="009F31DA" w:rsidRPr="00843BF0" w:rsidRDefault="009F31DA" w:rsidP="009F31DA">
      <w:pPr>
        <w:ind w:right="113"/>
        <w:jc w:val="both"/>
        <w:rPr>
          <w:rFonts w:asciiTheme="minorHAnsi" w:hAnsiTheme="minorHAnsi" w:cs="Times New Roman"/>
          <w:color w:val="0C0C0C"/>
          <w:w w:val="105"/>
        </w:rPr>
      </w:pPr>
    </w:p>
    <w:p w:rsidR="004D779F" w:rsidRPr="00843BF0" w:rsidRDefault="00500E31" w:rsidP="009F31DA">
      <w:pPr>
        <w:ind w:right="113"/>
        <w:jc w:val="both"/>
        <w:rPr>
          <w:rFonts w:asciiTheme="minorHAnsi" w:hAnsiTheme="minorHAnsi" w:cs="Times New Roman"/>
          <w:b/>
          <w:color w:val="0C0C0C"/>
          <w:w w:val="105"/>
        </w:rPr>
      </w:pPr>
      <w:r w:rsidRPr="00843BF0">
        <w:rPr>
          <w:rFonts w:asciiTheme="minorHAnsi" w:hAnsiTheme="minorHAnsi" w:cs="Times New Roman"/>
          <w:b/>
          <w:color w:val="0C0C0C"/>
          <w:w w:val="105"/>
        </w:rPr>
        <w:t>Low</w:t>
      </w:r>
      <w:r w:rsidR="004D779F" w:rsidRPr="00843BF0">
        <w:rPr>
          <w:rFonts w:asciiTheme="minorHAnsi" w:hAnsiTheme="minorHAnsi" w:cs="Times New Roman"/>
          <w:b/>
          <w:color w:val="0C0C0C"/>
          <w:w w:val="105"/>
        </w:rPr>
        <w:t>-income Individual</w:t>
      </w:r>
    </w:p>
    <w:p w:rsidR="004D779F"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An individual who meets any one of the following criteria satisfies the low-income requirement for WIOA adult services:</w:t>
      </w:r>
    </w:p>
    <w:p w:rsidR="004D779F" w:rsidRPr="00843BF0" w:rsidRDefault="004D779F" w:rsidP="009F31DA">
      <w:pPr>
        <w:pStyle w:val="ListParagraph"/>
        <w:numPr>
          <w:ilvl w:val="0"/>
          <w:numId w:val="13"/>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Receives, or in the  past six months has received, or is a member of a family that is receiving or in the past six months has received, assistance through SNAP, TANF, or Supplemental Security Income (SSI), or state or local income-based public assistance;</w:t>
      </w:r>
    </w:p>
    <w:p w:rsidR="004D779F" w:rsidRPr="00843BF0" w:rsidRDefault="004D779F" w:rsidP="009F31DA">
      <w:pPr>
        <w:pStyle w:val="ListParagraph"/>
        <w:numPr>
          <w:ilvl w:val="0"/>
          <w:numId w:val="13"/>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Receives an income or is a member of a family receiving an income that, in relation to family size, is not in excess of the most recent Family Income Guidelines issued via State Instruction;</w:t>
      </w:r>
    </w:p>
    <w:p w:rsidR="004D779F" w:rsidRPr="00843BF0" w:rsidRDefault="004D779F" w:rsidP="009F31DA">
      <w:pPr>
        <w:pStyle w:val="ListParagraph"/>
        <w:numPr>
          <w:ilvl w:val="0"/>
          <w:numId w:val="13"/>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Is a homeless individual as defined in the McKinney- Vento Homeless Assistance Act or the Violence Against Women Act of  1994; or</w:t>
      </w:r>
    </w:p>
    <w:p w:rsidR="004D779F" w:rsidRPr="00843BF0" w:rsidRDefault="004D779F" w:rsidP="009F31DA">
      <w:pPr>
        <w:pStyle w:val="ListParagraph"/>
        <w:numPr>
          <w:ilvl w:val="0"/>
          <w:numId w:val="13"/>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Is an individual with a disability whose own income meets the income requirement above, but who is a member of a family whose income does not meet this requirement.</w:t>
      </w:r>
    </w:p>
    <w:p w:rsidR="009F31DA" w:rsidRPr="00843BF0" w:rsidRDefault="009F31DA" w:rsidP="009F31DA">
      <w:pPr>
        <w:pStyle w:val="ListParagraph"/>
        <w:ind w:left="720" w:right="113" w:firstLine="0"/>
        <w:jc w:val="both"/>
        <w:rPr>
          <w:rFonts w:asciiTheme="minorHAnsi" w:hAnsiTheme="minorHAnsi" w:cs="Times New Roman"/>
          <w:color w:val="0C0C0C"/>
          <w:w w:val="105"/>
        </w:rPr>
      </w:pPr>
    </w:p>
    <w:p w:rsidR="004D779F" w:rsidRPr="00843BF0" w:rsidRDefault="004D779F" w:rsidP="009F31DA">
      <w:pPr>
        <w:ind w:right="113"/>
        <w:jc w:val="both"/>
        <w:rPr>
          <w:rFonts w:asciiTheme="minorHAnsi" w:hAnsiTheme="minorHAnsi" w:cs="Times New Roman"/>
          <w:b/>
          <w:color w:val="0C0C0C"/>
          <w:w w:val="105"/>
        </w:rPr>
      </w:pPr>
      <w:r w:rsidRPr="00843BF0">
        <w:rPr>
          <w:rFonts w:asciiTheme="minorHAnsi" w:hAnsiTheme="minorHAnsi" w:cs="Times New Roman"/>
          <w:b/>
          <w:color w:val="0C0C0C"/>
          <w:w w:val="105"/>
        </w:rPr>
        <w:t>Basic Skills Deficient</w:t>
      </w:r>
    </w:p>
    <w:p w:rsidR="004D779F"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WIOA defines basic skills deficient as an adult who is unable to compute or solve problems, or read, write, or speak English, at a level necessary to function on the job, in the participant's </w:t>
      </w:r>
      <w:r w:rsidR="00040A82" w:rsidRPr="00843BF0">
        <w:rPr>
          <w:rFonts w:asciiTheme="minorHAnsi" w:hAnsiTheme="minorHAnsi" w:cs="Times New Roman"/>
          <w:color w:val="0C0C0C"/>
          <w:w w:val="105"/>
        </w:rPr>
        <w:t>family, or in society. The local region</w:t>
      </w:r>
      <w:r w:rsidR="00DC24D3" w:rsidRPr="00843BF0">
        <w:rPr>
          <w:rFonts w:asciiTheme="minorHAnsi" w:hAnsiTheme="minorHAnsi" w:cs="Times New Roman"/>
          <w:color w:val="0C0C0C"/>
          <w:w w:val="105"/>
        </w:rPr>
        <w:t xml:space="preserve"> </w:t>
      </w:r>
      <w:r w:rsidRPr="00843BF0">
        <w:rPr>
          <w:rFonts w:asciiTheme="minorHAnsi" w:hAnsiTheme="minorHAnsi" w:cs="Times New Roman"/>
          <w:color w:val="0C0C0C"/>
          <w:w w:val="105"/>
        </w:rPr>
        <w:t>defines basic skills deficient as an individual who meets any one of the following indicators:</w:t>
      </w:r>
    </w:p>
    <w:p w:rsidR="004D779F" w:rsidRPr="00843BF0" w:rsidRDefault="004D779F" w:rsidP="009F31DA">
      <w:pPr>
        <w:pStyle w:val="ListParagraph"/>
        <w:numPr>
          <w:ilvl w:val="0"/>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Lacks a high school diploma or equivalent; or</w:t>
      </w:r>
    </w:p>
    <w:p w:rsidR="00040A82" w:rsidRPr="00843BF0" w:rsidRDefault="009F31DA" w:rsidP="009F31DA">
      <w:pPr>
        <w:pStyle w:val="ListParagraph"/>
        <w:numPr>
          <w:ilvl w:val="0"/>
          <w:numId w:val="14"/>
        </w:numPr>
        <w:jc w:val="both"/>
        <w:rPr>
          <w:rFonts w:asciiTheme="minorHAnsi" w:hAnsiTheme="minorHAnsi" w:cs="Times New Roman"/>
          <w:color w:val="0C0C0C"/>
          <w:w w:val="105"/>
        </w:rPr>
      </w:pPr>
      <w:r w:rsidRPr="00843BF0">
        <w:rPr>
          <w:rFonts w:asciiTheme="minorHAnsi" w:hAnsiTheme="minorHAnsi" w:cs="Times New Roman"/>
          <w:color w:val="0C0C0C"/>
          <w:w w:val="105"/>
        </w:rPr>
        <w:t>H</w:t>
      </w:r>
      <w:r w:rsidR="00040A82" w:rsidRPr="00843BF0">
        <w:rPr>
          <w:rFonts w:asciiTheme="minorHAnsi" w:hAnsiTheme="minorHAnsi" w:cs="Times New Roman"/>
          <w:color w:val="0C0C0C"/>
          <w:w w:val="105"/>
        </w:rPr>
        <w:t>as the following English, reading, writing, or computing skills documented on a generally accepted standardized test within six (6) months of WIOA Application Date:</w:t>
      </w:r>
    </w:p>
    <w:p w:rsidR="00040A82" w:rsidRPr="00843BF0" w:rsidRDefault="004D779F"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8.9 or below on the </w:t>
      </w:r>
      <w:r w:rsidR="00772960" w:rsidRPr="00843BF0">
        <w:rPr>
          <w:rFonts w:asciiTheme="minorHAnsi" w:hAnsiTheme="minorHAnsi" w:cs="Times New Roman"/>
          <w:color w:val="0C0C0C"/>
          <w:w w:val="105"/>
        </w:rPr>
        <w:t>Test for Adult Basic Education (</w:t>
      </w:r>
      <w:r w:rsidRPr="00843BF0">
        <w:rPr>
          <w:rFonts w:asciiTheme="minorHAnsi" w:hAnsiTheme="minorHAnsi" w:cs="Times New Roman"/>
          <w:color w:val="0C0C0C"/>
          <w:w w:val="105"/>
        </w:rPr>
        <w:t xml:space="preserve">TABE) </w:t>
      </w:r>
    </w:p>
    <w:p w:rsidR="004D779F" w:rsidRPr="00843BF0" w:rsidRDefault="004D779F"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 &lt;4 o</w:t>
      </w:r>
      <w:r w:rsidR="00DC24D3" w:rsidRPr="00843BF0">
        <w:rPr>
          <w:rFonts w:asciiTheme="minorHAnsi" w:hAnsiTheme="minorHAnsi" w:cs="Times New Roman"/>
          <w:color w:val="0C0C0C"/>
          <w:w w:val="105"/>
        </w:rPr>
        <w:t xml:space="preserve">n the Reading for Information, </w:t>
      </w:r>
      <w:r w:rsidRPr="00843BF0">
        <w:rPr>
          <w:rFonts w:asciiTheme="minorHAnsi" w:hAnsiTheme="minorHAnsi" w:cs="Times New Roman"/>
          <w:color w:val="0C0C0C"/>
          <w:w w:val="105"/>
        </w:rPr>
        <w:t xml:space="preserve">Applied Mathematics, or Locating Information </w:t>
      </w:r>
      <w:proofErr w:type="spellStart"/>
      <w:r w:rsidRPr="00843BF0">
        <w:rPr>
          <w:rFonts w:asciiTheme="minorHAnsi" w:hAnsiTheme="minorHAnsi" w:cs="Times New Roman"/>
          <w:color w:val="0C0C0C"/>
          <w:w w:val="105"/>
        </w:rPr>
        <w:t>WorkKeys</w:t>
      </w:r>
      <w:proofErr w:type="spellEnd"/>
      <w:r w:rsidRPr="00843BF0">
        <w:rPr>
          <w:rFonts w:asciiTheme="minorHAnsi" w:hAnsiTheme="minorHAnsi" w:cs="Times New Roman"/>
          <w:color w:val="0C0C0C"/>
          <w:w w:val="105"/>
        </w:rPr>
        <w:t>® assessments; or</w:t>
      </w:r>
    </w:p>
    <w:p w:rsidR="00040A82" w:rsidRPr="00843BF0" w:rsidRDefault="00040A82"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Compass:</w:t>
      </w:r>
    </w:p>
    <w:p w:rsidR="00040A82" w:rsidRPr="00843BF0" w:rsidRDefault="002E3174" w:rsidP="009F31DA">
      <w:pPr>
        <w:pStyle w:val="ListParagraph"/>
        <w:numPr>
          <w:ilvl w:val="2"/>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R</w:t>
      </w:r>
      <w:r w:rsidR="00040A82" w:rsidRPr="00843BF0">
        <w:rPr>
          <w:rFonts w:asciiTheme="minorHAnsi" w:hAnsiTheme="minorHAnsi" w:cs="Times New Roman"/>
          <w:color w:val="0C0C0C"/>
          <w:w w:val="105"/>
        </w:rPr>
        <w:t>eading score at or below 81</w:t>
      </w:r>
    </w:p>
    <w:p w:rsidR="00040A82" w:rsidRPr="00843BF0" w:rsidRDefault="002E3174" w:rsidP="009F31DA">
      <w:pPr>
        <w:pStyle w:val="ListParagraph"/>
        <w:numPr>
          <w:ilvl w:val="2"/>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M</w:t>
      </w:r>
      <w:r w:rsidR="00040A82" w:rsidRPr="00843BF0">
        <w:rPr>
          <w:rFonts w:asciiTheme="minorHAnsi" w:hAnsiTheme="minorHAnsi" w:cs="Times New Roman"/>
          <w:color w:val="0C0C0C"/>
          <w:w w:val="105"/>
        </w:rPr>
        <w:t>ath score at or below 52 (algebra entrance is 53)</w:t>
      </w:r>
    </w:p>
    <w:p w:rsidR="002E3174" w:rsidRPr="00843BF0" w:rsidRDefault="002E3174" w:rsidP="002E3174">
      <w:pPr>
        <w:pStyle w:val="ListParagraph"/>
        <w:numPr>
          <w:ilvl w:val="1"/>
          <w:numId w:val="14"/>
        </w:numPr>
        <w:ind w:right="113"/>
        <w:jc w:val="both"/>
        <w:rPr>
          <w:rFonts w:asciiTheme="minorHAnsi" w:hAnsiTheme="minorHAnsi" w:cs="Times New Roman"/>
          <w:color w:val="0C0C0C"/>
          <w:w w:val="105"/>
        </w:rPr>
      </w:pPr>
      <w:proofErr w:type="spellStart"/>
      <w:r w:rsidRPr="00843BF0">
        <w:rPr>
          <w:rFonts w:asciiTheme="minorHAnsi" w:hAnsiTheme="minorHAnsi" w:cs="Times New Roman"/>
          <w:color w:val="0C0C0C"/>
          <w:w w:val="105"/>
        </w:rPr>
        <w:t>Accuplacer</w:t>
      </w:r>
      <w:proofErr w:type="spellEnd"/>
      <w:r w:rsidRPr="00843BF0">
        <w:rPr>
          <w:rFonts w:asciiTheme="minorHAnsi" w:hAnsiTheme="minorHAnsi" w:cs="Times New Roman"/>
          <w:color w:val="0C0C0C"/>
          <w:w w:val="105"/>
        </w:rPr>
        <w:t>:</w:t>
      </w:r>
    </w:p>
    <w:p w:rsidR="002E3174" w:rsidRPr="00843BF0" w:rsidRDefault="002E3174" w:rsidP="002E3174">
      <w:pPr>
        <w:pStyle w:val="ListParagraph"/>
        <w:numPr>
          <w:ilvl w:val="2"/>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Reading or Elementary Algebra score at or below 79</w:t>
      </w:r>
    </w:p>
    <w:p w:rsidR="00040A82" w:rsidRPr="00843BF0" w:rsidRDefault="00040A82"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ACT:</w:t>
      </w:r>
    </w:p>
    <w:p w:rsidR="00040A82" w:rsidRPr="00843BF0" w:rsidRDefault="002E3174" w:rsidP="009F31DA">
      <w:pPr>
        <w:pStyle w:val="ListParagraph"/>
        <w:numPr>
          <w:ilvl w:val="2"/>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R</w:t>
      </w:r>
      <w:r w:rsidR="00040A82" w:rsidRPr="00843BF0">
        <w:rPr>
          <w:rFonts w:asciiTheme="minorHAnsi" w:hAnsiTheme="minorHAnsi" w:cs="Times New Roman"/>
          <w:color w:val="0C0C0C"/>
          <w:w w:val="105"/>
        </w:rPr>
        <w:t>eading or math raw scale at or below 18</w:t>
      </w:r>
    </w:p>
    <w:p w:rsidR="00DC24D3" w:rsidRPr="00843BF0" w:rsidRDefault="004D779F" w:rsidP="009F31DA">
      <w:pPr>
        <w:pStyle w:val="ListParagraph"/>
        <w:numPr>
          <w:ilvl w:val="0"/>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lastRenderedPageBreak/>
        <w:t>Is enrol</w:t>
      </w:r>
      <w:r w:rsidR="00DC24D3" w:rsidRPr="00843BF0">
        <w:rPr>
          <w:rFonts w:asciiTheme="minorHAnsi" w:hAnsiTheme="minorHAnsi" w:cs="Times New Roman"/>
          <w:color w:val="0C0C0C"/>
          <w:w w:val="105"/>
        </w:rPr>
        <w:t>led in Title II adult education; or</w:t>
      </w:r>
    </w:p>
    <w:p w:rsidR="004D779F" w:rsidRPr="00843BF0" w:rsidRDefault="00DC24D3" w:rsidP="009F31DA">
      <w:pPr>
        <w:pStyle w:val="ListParagraph"/>
        <w:numPr>
          <w:ilvl w:val="0"/>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Enrolled </w:t>
      </w:r>
      <w:r w:rsidR="00040A82" w:rsidRPr="00843BF0">
        <w:rPr>
          <w:rFonts w:asciiTheme="minorHAnsi" w:hAnsiTheme="minorHAnsi" w:cs="Times New Roman"/>
          <w:color w:val="0C0C0C"/>
          <w:w w:val="105"/>
        </w:rPr>
        <w:t>in English</w:t>
      </w:r>
      <w:r w:rsidR="004D779F" w:rsidRPr="00843BF0">
        <w:rPr>
          <w:rFonts w:asciiTheme="minorHAnsi" w:hAnsiTheme="minorHAnsi" w:cs="Times New Roman"/>
          <w:color w:val="0C0C0C"/>
          <w:w w:val="105"/>
        </w:rPr>
        <w:t xml:space="preserve"> as a Second Language (ESL).</w:t>
      </w:r>
    </w:p>
    <w:p w:rsidR="00040A82" w:rsidRPr="00843BF0" w:rsidRDefault="00F5532C"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H</w:t>
      </w:r>
      <w:r w:rsidR="00040A82" w:rsidRPr="00843BF0">
        <w:rPr>
          <w:rFonts w:asciiTheme="minorHAnsi" w:hAnsiTheme="minorHAnsi" w:cs="Times New Roman"/>
          <w:color w:val="0C0C0C"/>
          <w:w w:val="105"/>
        </w:rPr>
        <w:t>as within previous six (6) months</w:t>
      </w:r>
      <w:r w:rsidR="002E3174" w:rsidRPr="00843BF0">
        <w:rPr>
          <w:rFonts w:asciiTheme="minorHAnsi" w:hAnsiTheme="minorHAnsi" w:cs="Times New Roman"/>
          <w:color w:val="0C0C0C"/>
          <w:w w:val="105"/>
        </w:rPr>
        <w:t xml:space="preserve"> attended</w:t>
      </w:r>
      <w:r w:rsidRPr="00843BF0">
        <w:rPr>
          <w:rFonts w:asciiTheme="minorHAnsi" w:hAnsiTheme="minorHAnsi" w:cs="Times New Roman"/>
          <w:color w:val="0C0C0C"/>
          <w:w w:val="105"/>
        </w:rPr>
        <w:t xml:space="preserve"> or is currently attending ESL c</w:t>
      </w:r>
      <w:r w:rsidR="00040A82" w:rsidRPr="00843BF0">
        <w:rPr>
          <w:rFonts w:asciiTheme="minorHAnsi" w:hAnsiTheme="minorHAnsi" w:cs="Times New Roman"/>
          <w:color w:val="0C0C0C"/>
          <w:w w:val="105"/>
        </w:rPr>
        <w:t>lasses, with supporting documentation; or</w:t>
      </w:r>
    </w:p>
    <w:p w:rsidR="00040A82" w:rsidRPr="00843BF0" w:rsidRDefault="00F5532C"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H</w:t>
      </w:r>
      <w:r w:rsidR="00040A82" w:rsidRPr="00843BF0">
        <w:rPr>
          <w:rFonts w:asciiTheme="minorHAnsi" w:hAnsiTheme="minorHAnsi" w:cs="Times New Roman"/>
          <w:color w:val="0C0C0C"/>
          <w:w w:val="105"/>
        </w:rPr>
        <w:t>as a recommendation from an ESL instructor, in writing; or</w:t>
      </w:r>
      <w:r w:rsidR="00040A82" w:rsidRPr="00843BF0">
        <w:rPr>
          <w:rFonts w:ascii="MS Gothic" w:hAnsi="MS Gothic" w:cs="MS Gothic"/>
          <w:color w:val="0C0C0C"/>
          <w:w w:val="105"/>
        </w:rPr>
        <w:t> </w:t>
      </w:r>
    </w:p>
    <w:p w:rsidR="00040A82" w:rsidRPr="00843BF0" w:rsidRDefault="00F5532C" w:rsidP="009F31DA">
      <w:pPr>
        <w:pStyle w:val="ListParagraph"/>
        <w:numPr>
          <w:ilvl w:val="1"/>
          <w:numId w:val="14"/>
        </w:numPr>
        <w:ind w:right="113"/>
        <w:jc w:val="both"/>
        <w:rPr>
          <w:rFonts w:asciiTheme="minorHAnsi" w:hAnsiTheme="minorHAnsi" w:cs="Times New Roman"/>
          <w:color w:val="0C0C0C"/>
          <w:w w:val="105"/>
        </w:rPr>
      </w:pPr>
      <w:r w:rsidRPr="00843BF0">
        <w:rPr>
          <w:rFonts w:asciiTheme="minorHAnsi" w:hAnsiTheme="minorHAnsi" w:cs="Times New Roman"/>
          <w:color w:val="0C0C0C"/>
          <w:w w:val="105"/>
        </w:rPr>
        <w:t>S</w:t>
      </w:r>
      <w:r w:rsidR="00040A82" w:rsidRPr="00843BF0">
        <w:rPr>
          <w:rFonts w:asciiTheme="minorHAnsi" w:hAnsiTheme="minorHAnsi" w:cs="Times New Roman"/>
          <w:color w:val="0C0C0C"/>
          <w:w w:val="105"/>
        </w:rPr>
        <w:t>cored as outlined in the “educational functioning level descriptors—English as a second language levels” as outlined in TEGL 17-05 Change 1 Attachment A.</w:t>
      </w:r>
    </w:p>
    <w:p w:rsidR="009F31DA" w:rsidRPr="00843BF0" w:rsidRDefault="009F31DA" w:rsidP="009F31DA">
      <w:pPr>
        <w:pStyle w:val="ListParagraph"/>
        <w:ind w:left="1440" w:right="113" w:firstLine="0"/>
        <w:jc w:val="both"/>
        <w:rPr>
          <w:rFonts w:asciiTheme="minorHAnsi" w:hAnsiTheme="minorHAnsi" w:cs="Times New Roman"/>
          <w:color w:val="0C0C0C"/>
          <w:w w:val="105"/>
        </w:rPr>
      </w:pPr>
    </w:p>
    <w:p w:rsidR="004D779F"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It is expected that basic skills deficiency will be determined using an objective, valid, and reliable assessment, such as the indicators listed above. However, when a formal evaluation is not available or practical, case manager observations, customer acknowledgement, and documented case notes are acceptable. For example, the case manager may observe that the adult is experiencing difficulty in reading or filling out an application form, or has poor English language skills and may be appropriate for ESL. However, an individual should not be determined as basic skills deficient merely because he/she lacks soft skills or the occupational skills needed for a particular job.</w:t>
      </w:r>
    </w:p>
    <w:p w:rsidR="009F31DA" w:rsidRPr="00843BF0" w:rsidRDefault="009F31DA" w:rsidP="009F31DA">
      <w:pPr>
        <w:ind w:right="113"/>
        <w:jc w:val="both"/>
        <w:rPr>
          <w:rFonts w:asciiTheme="minorHAnsi" w:hAnsiTheme="minorHAnsi" w:cs="Times New Roman"/>
          <w:color w:val="0C0C0C"/>
          <w:w w:val="105"/>
        </w:rPr>
      </w:pPr>
    </w:p>
    <w:p w:rsidR="009F31DA"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 xml:space="preserve">WIOA Title I funds cannot be used for assessment of basic skills deficiency prior to eligibility certification. </w:t>
      </w:r>
    </w:p>
    <w:p w:rsidR="00F175A9" w:rsidRPr="00843BF0" w:rsidRDefault="00F175A9" w:rsidP="009F31DA">
      <w:pPr>
        <w:ind w:right="113"/>
        <w:jc w:val="both"/>
        <w:rPr>
          <w:rFonts w:asciiTheme="minorHAnsi" w:hAnsiTheme="minorHAnsi" w:cs="Times New Roman"/>
          <w:color w:val="0C0C0C"/>
          <w:w w:val="105"/>
        </w:rPr>
      </w:pPr>
    </w:p>
    <w:p w:rsidR="004D779F" w:rsidRPr="00843BF0" w:rsidRDefault="004D779F" w:rsidP="009F31DA">
      <w:pPr>
        <w:ind w:right="113"/>
        <w:jc w:val="both"/>
        <w:rPr>
          <w:rFonts w:asciiTheme="minorHAnsi" w:hAnsiTheme="minorHAnsi" w:cs="Times New Roman"/>
          <w:b/>
          <w:color w:val="0C0C0C"/>
          <w:w w:val="105"/>
        </w:rPr>
      </w:pPr>
      <w:r w:rsidRPr="00843BF0">
        <w:rPr>
          <w:rFonts w:asciiTheme="minorHAnsi" w:hAnsiTheme="minorHAnsi" w:cs="Times New Roman"/>
          <w:b/>
          <w:color w:val="0C0C0C"/>
          <w:w w:val="105"/>
        </w:rPr>
        <w:t>Documentation Requirements</w:t>
      </w:r>
    </w:p>
    <w:p w:rsidR="005031B6" w:rsidRPr="00843BF0" w:rsidRDefault="004D779F" w:rsidP="009F31DA">
      <w:pPr>
        <w:ind w:right="113"/>
        <w:jc w:val="both"/>
        <w:rPr>
          <w:rFonts w:asciiTheme="minorHAnsi" w:hAnsiTheme="minorHAnsi" w:cs="Times New Roman"/>
          <w:color w:val="0C0C0C"/>
          <w:w w:val="105"/>
        </w:rPr>
      </w:pPr>
      <w:r w:rsidRPr="00843BF0">
        <w:rPr>
          <w:rFonts w:asciiTheme="minorHAnsi" w:hAnsiTheme="minorHAnsi" w:cs="Times New Roman"/>
          <w:color w:val="0C0C0C"/>
          <w:w w:val="105"/>
        </w:rPr>
        <w:t>It is beneficial to capture all applicable priority of service categories to reflect efforts in serving those most in need.  In addition, such characteristics will likely have a positive impact on future performance negotiations as the statistical adjustment model is implemented. Therefore, all applicable priority of service criteria should be recorded in SC Works Online Services (SCWOS) and the documentation required for each criteria recorded must be maintained in the participant's case file.</w:t>
      </w:r>
    </w:p>
    <w:p w:rsidR="008B0FA1" w:rsidRPr="00843BF0" w:rsidRDefault="008B0FA1" w:rsidP="008B0FA1">
      <w:pPr>
        <w:widowControl/>
        <w:tabs>
          <w:tab w:val="left" w:pos="1440"/>
          <w:tab w:val="left" w:pos="2160"/>
          <w:tab w:val="left" w:pos="2880"/>
          <w:tab w:val="left" w:pos="3600"/>
        </w:tabs>
        <w:autoSpaceDE/>
        <w:autoSpaceDN/>
        <w:jc w:val="both"/>
        <w:rPr>
          <w:rFonts w:asciiTheme="minorHAnsi" w:eastAsia="Times New Roman" w:hAnsiTheme="minorHAnsi" w:cs="Times New Roman"/>
          <w:b/>
        </w:rPr>
      </w:pPr>
    </w:p>
    <w:p w:rsidR="00040A82" w:rsidRPr="00843BF0" w:rsidRDefault="00040A82" w:rsidP="00040A82">
      <w:pPr>
        <w:widowControl/>
        <w:tabs>
          <w:tab w:val="left" w:pos="1440"/>
          <w:tab w:val="left" w:pos="2160"/>
          <w:tab w:val="left" w:pos="2880"/>
          <w:tab w:val="left" w:pos="3600"/>
        </w:tabs>
        <w:autoSpaceDE/>
        <w:autoSpaceDN/>
        <w:jc w:val="both"/>
        <w:rPr>
          <w:rFonts w:asciiTheme="minorHAnsi" w:eastAsia="Times New Roman" w:hAnsiTheme="minorHAnsi" w:cs="Times New Roman"/>
        </w:rPr>
      </w:pPr>
      <w:r w:rsidRPr="00843BF0">
        <w:rPr>
          <w:rFonts w:asciiTheme="minorHAnsi" w:eastAsia="Times New Roman" w:hAnsiTheme="minorHAnsi" w:cs="Times New Roman"/>
          <w:b/>
        </w:rPr>
        <w:t xml:space="preserve">INQUIRIES: </w:t>
      </w:r>
      <w:r w:rsidRPr="00843BF0">
        <w:rPr>
          <w:rFonts w:asciiTheme="minorHAnsi" w:eastAsia="Times New Roman" w:hAnsiTheme="minorHAnsi" w:cs="Times New Roman"/>
        </w:rPr>
        <w:t>Should you have any questions regarding this instruction, please contact Eva Anagnostis at 864-467-8142, TTY</w:t>
      </w:r>
      <w:proofErr w:type="gramStart"/>
      <w:r w:rsidRPr="00843BF0">
        <w:rPr>
          <w:rFonts w:asciiTheme="minorHAnsi" w:eastAsia="Times New Roman" w:hAnsiTheme="minorHAnsi" w:cs="Times New Roman"/>
        </w:rPr>
        <w:t>:711</w:t>
      </w:r>
      <w:proofErr w:type="gramEnd"/>
      <w:r w:rsidRPr="00843BF0">
        <w:rPr>
          <w:rFonts w:asciiTheme="minorHAnsi" w:eastAsia="Times New Roman" w:hAnsiTheme="minorHAnsi" w:cs="Times New Roman"/>
        </w:rPr>
        <w:t xml:space="preserve">, or at </w:t>
      </w:r>
      <w:hyperlink r:id="rId8" w:history="1">
        <w:r w:rsidR="00104B1D" w:rsidRPr="00843BF0">
          <w:rPr>
            <w:rStyle w:val="Hyperlink"/>
            <w:rFonts w:asciiTheme="minorHAnsi" w:eastAsia="Times New Roman" w:hAnsiTheme="minorHAnsi" w:cs="Times New Roman"/>
          </w:rPr>
          <w:t>eanagnostis@greenvillecounty.org</w:t>
        </w:r>
      </w:hyperlink>
      <w:r w:rsidRPr="00843BF0">
        <w:rPr>
          <w:rFonts w:asciiTheme="minorHAnsi" w:eastAsia="Times New Roman" w:hAnsiTheme="minorHAnsi" w:cs="Times New Roman"/>
        </w:rPr>
        <w:t xml:space="preserve"> </w:t>
      </w:r>
      <w:r w:rsidR="00104B1D" w:rsidRPr="00843BF0">
        <w:rPr>
          <w:rFonts w:asciiTheme="minorHAnsi" w:eastAsia="Times New Roman" w:hAnsiTheme="minorHAnsi" w:cs="Times New Roman"/>
        </w:rPr>
        <w:t>or Dana Wood at 864-</w:t>
      </w:r>
      <w:r w:rsidRPr="00843BF0">
        <w:rPr>
          <w:rFonts w:asciiTheme="minorHAnsi" w:eastAsia="Times New Roman" w:hAnsiTheme="minorHAnsi" w:cs="Times New Roman"/>
        </w:rPr>
        <w:t>596</w:t>
      </w:r>
      <w:r w:rsidR="00104B1D" w:rsidRPr="00843BF0">
        <w:rPr>
          <w:rFonts w:asciiTheme="minorHAnsi" w:eastAsia="Times New Roman" w:hAnsiTheme="minorHAnsi" w:cs="Times New Roman"/>
        </w:rPr>
        <w:t>-</w:t>
      </w:r>
      <w:r w:rsidRPr="00843BF0">
        <w:rPr>
          <w:rFonts w:asciiTheme="minorHAnsi" w:eastAsia="Times New Roman" w:hAnsiTheme="minorHAnsi" w:cs="Times New Roman"/>
        </w:rPr>
        <w:t xml:space="preserve">2028 ext. 100, TTY 711, or at </w:t>
      </w:r>
      <w:hyperlink r:id="rId9" w:history="1">
        <w:r w:rsidRPr="00843BF0">
          <w:rPr>
            <w:rFonts w:asciiTheme="minorHAnsi" w:eastAsia="Times New Roman" w:hAnsiTheme="minorHAnsi" w:cs="Times New Roman"/>
            <w:color w:val="0000FF"/>
            <w:u w:val="single"/>
          </w:rPr>
          <w:t>wood@upstateworkforceboard.org</w:t>
        </w:r>
      </w:hyperlink>
      <w:r w:rsidRPr="00843BF0">
        <w:rPr>
          <w:rFonts w:asciiTheme="minorHAnsi" w:eastAsia="Times New Roman" w:hAnsiTheme="minorHAnsi" w:cs="Times New Roman"/>
        </w:rPr>
        <w:t xml:space="preserve"> .</w:t>
      </w: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sz w:val="20"/>
          <w:szCs w:val="20"/>
        </w:rPr>
      </w:pP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sz w:val="20"/>
          <w:szCs w:val="20"/>
        </w:rPr>
      </w:pP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sz w:val="20"/>
          <w:szCs w:val="20"/>
        </w:rPr>
      </w:pP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sz w:val="20"/>
          <w:szCs w:val="20"/>
        </w:rPr>
      </w:pPr>
    </w:p>
    <w:p w:rsidR="00040A82" w:rsidRPr="00F82ABA" w:rsidRDefault="00040A82" w:rsidP="00040A82">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sz w:val="20"/>
          <w:szCs w:val="20"/>
        </w:rPr>
      </w:pPr>
      <w:r w:rsidRPr="00F82ABA">
        <w:rPr>
          <w:rFonts w:asciiTheme="minorHAnsi" w:eastAsia="Times New Roman" w:hAnsiTheme="minorHAnsi" w:cs="Times New Roman"/>
          <w:sz w:val="20"/>
          <w:szCs w:val="20"/>
        </w:rPr>
        <w:t xml:space="preserve">___________________________   </w:t>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t>__________________________</w:t>
      </w:r>
    </w:p>
    <w:p w:rsidR="00040A82" w:rsidRPr="00F82ABA" w:rsidRDefault="00040A82" w:rsidP="00040A82">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sz w:val="20"/>
          <w:szCs w:val="20"/>
        </w:rPr>
      </w:pPr>
      <w:r w:rsidRPr="00F82ABA">
        <w:rPr>
          <w:rFonts w:asciiTheme="minorHAnsi" w:eastAsia="Times New Roman" w:hAnsiTheme="minorHAnsi" w:cs="Times New Roman"/>
          <w:sz w:val="20"/>
          <w:szCs w:val="20"/>
        </w:rPr>
        <w:t xml:space="preserve">Ann </w:t>
      </w:r>
      <w:proofErr w:type="spellStart"/>
      <w:r w:rsidRPr="00F82ABA">
        <w:rPr>
          <w:rFonts w:asciiTheme="minorHAnsi" w:eastAsia="Times New Roman" w:hAnsiTheme="minorHAnsi" w:cs="Times New Roman"/>
          <w:sz w:val="20"/>
          <w:szCs w:val="20"/>
        </w:rPr>
        <w:t>Angermeier</w:t>
      </w:r>
      <w:proofErr w:type="spellEnd"/>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t>Dean E. Jones</w:t>
      </w:r>
      <w:r w:rsidRPr="00F82ABA">
        <w:rPr>
          <w:rFonts w:asciiTheme="minorHAnsi" w:eastAsia="Times New Roman" w:hAnsiTheme="minorHAnsi" w:cs="Times New Roman"/>
          <w:sz w:val="20"/>
          <w:szCs w:val="20"/>
        </w:rPr>
        <w:tab/>
      </w:r>
    </w:p>
    <w:p w:rsidR="00040A82" w:rsidRPr="00F82ABA" w:rsidRDefault="00040A82" w:rsidP="00040A82">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sz w:val="20"/>
          <w:szCs w:val="20"/>
        </w:rPr>
      </w:pPr>
      <w:r w:rsidRPr="00F82ABA">
        <w:rPr>
          <w:rFonts w:asciiTheme="minorHAnsi" w:eastAsia="Times New Roman" w:hAnsiTheme="minorHAnsi" w:cs="Times New Roman"/>
          <w:sz w:val="20"/>
          <w:szCs w:val="20"/>
        </w:rPr>
        <w:t>Executive Director</w:t>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t>Executive Director</w:t>
      </w: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sz w:val="20"/>
          <w:szCs w:val="20"/>
        </w:rPr>
      </w:pPr>
      <w:r w:rsidRPr="00F82ABA">
        <w:rPr>
          <w:rFonts w:asciiTheme="minorHAnsi" w:eastAsia="Times New Roman" w:hAnsiTheme="minorHAnsi" w:cs="Times New Roman"/>
          <w:sz w:val="20"/>
          <w:szCs w:val="20"/>
        </w:rPr>
        <w:t xml:space="preserve">Upstate Workforce Board </w:t>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r>
      <w:r w:rsidRPr="00F82ABA">
        <w:rPr>
          <w:rFonts w:asciiTheme="minorHAnsi" w:eastAsia="Times New Roman" w:hAnsiTheme="minorHAnsi" w:cs="Times New Roman"/>
          <w:sz w:val="20"/>
          <w:szCs w:val="20"/>
        </w:rPr>
        <w:tab/>
        <w:t xml:space="preserve">Greenville Workforce Development Board </w:t>
      </w:r>
    </w:p>
    <w:p w:rsidR="00040A82" w:rsidRPr="00F82ABA" w:rsidRDefault="00040A82" w:rsidP="00040A82">
      <w:pPr>
        <w:widowControl/>
        <w:pBdr>
          <w:bottom w:val="single" w:sz="12" w:space="1" w:color="auto"/>
        </w:pBdr>
        <w:tabs>
          <w:tab w:val="left" w:pos="1440"/>
          <w:tab w:val="left" w:pos="2160"/>
          <w:tab w:val="left" w:pos="2880"/>
          <w:tab w:val="left" w:pos="3600"/>
        </w:tabs>
        <w:autoSpaceDE/>
        <w:autoSpaceDN/>
        <w:ind w:left="4320" w:hanging="4320"/>
        <w:rPr>
          <w:rFonts w:asciiTheme="minorHAnsi" w:eastAsia="Times New Roman" w:hAnsiTheme="minorHAnsi" w:cs="Times New Roman"/>
          <w:sz w:val="20"/>
          <w:szCs w:val="20"/>
        </w:rPr>
      </w:pPr>
    </w:p>
    <w:p w:rsidR="00040A82" w:rsidRPr="00F82ABA" w:rsidRDefault="00040A82" w:rsidP="00040A82">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sidRPr="00F82ABA">
        <w:rPr>
          <w:rFonts w:asciiTheme="minorHAnsi" w:eastAsia="Times New Roman" w:hAnsiTheme="minorHAnsi" w:cs="Times New Roman"/>
          <w:b/>
          <w:sz w:val="20"/>
          <w:szCs w:val="20"/>
        </w:rPr>
        <w:t xml:space="preserve">Source: State Instruction letter 15-17. </w:t>
      </w:r>
      <w:r w:rsidRPr="00F82ABA">
        <w:rPr>
          <w:rFonts w:asciiTheme="minorHAnsi" w:eastAsia="Times New Roman" w:hAnsiTheme="minorHAnsi" w:cs="Times New Roman"/>
          <w:b/>
          <w:sz w:val="20"/>
          <w:szCs w:val="20"/>
        </w:rPr>
        <w:br/>
      </w:r>
    </w:p>
    <w:p w:rsidR="00040A82" w:rsidRPr="00F82ABA" w:rsidRDefault="00040A82" w:rsidP="00040A82">
      <w:pPr>
        <w:widowControl/>
        <w:tabs>
          <w:tab w:val="left" w:pos="1440"/>
          <w:tab w:val="left" w:pos="2160"/>
          <w:tab w:val="left" w:pos="2880"/>
          <w:tab w:val="left" w:pos="3600"/>
        </w:tabs>
        <w:autoSpaceDE/>
        <w:autoSpaceDN/>
        <w:rPr>
          <w:rFonts w:asciiTheme="minorHAnsi" w:eastAsia="Times New Roman" w:hAnsiTheme="minorHAnsi" w:cs="Times New Roman"/>
          <w:b/>
          <w:sz w:val="20"/>
          <w:szCs w:val="20"/>
        </w:rPr>
      </w:pPr>
      <w:r w:rsidRPr="00F82ABA">
        <w:rPr>
          <w:rFonts w:asciiTheme="minorHAnsi" w:eastAsia="Times New Roman" w:hAnsiTheme="minorHAnsi" w:cs="Times New Roman"/>
          <w:b/>
          <w:sz w:val="20"/>
          <w:szCs w:val="20"/>
        </w:rPr>
        <w:t>REPLACES LOCAL UPSTATE INSTRUCTION LETTER 15-13 and 15-15</w:t>
      </w:r>
    </w:p>
    <w:p w:rsidR="00093727" w:rsidRPr="00F82ABA" w:rsidRDefault="00093727" w:rsidP="00040A82">
      <w:pPr>
        <w:widowControl/>
        <w:tabs>
          <w:tab w:val="left" w:pos="1440"/>
          <w:tab w:val="left" w:pos="2160"/>
          <w:tab w:val="left" w:pos="2880"/>
          <w:tab w:val="left" w:pos="3600"/>
        </w:tabs>
        <w:autoSpaceDE/>
        <w:autoSpaceDN/>
        <w:rPr>
          <w:rFonts w:asciiTheme="minorHAnsi" w:eastAsia="Times New Roman" w:hAnsiTheme="minorHAnsi" w:cs="Times New Roman"/>
          <w:b/>
          <w:sz w:val="20"/>
          <w:szCs w:val="20"/>
        </w:rPr>
      </w:pPr>
      <w:r w:rsidRPr="00F82ABA">
        <w:rPr>
          <w:rFonts w:asciiTheme="minorHAnsi" w:eastAsia="Times New Roman" w:hAnsiTheme="minorHAnsi" w:cs="Times New Roman"/>
          <w:b/>
          <w:sz w:val="20"/>
          <w:szCs w:val="20"/>
        </w:rPr>
        <w:t>REPLACES GREENVILLE COUNTY WIOA ADULT PRIORITY OF SERVICES POLICY</w:t>
      </w:r>
    </w:p>
    <w:p w:rsidR="00FC289A" w:rsidRPr="0030131E" w:rsidRDefault="00FC289A" w:rsidP="00043165">
      <w:pPr>
        <w:tabs>
          <w:tab w:val="left" w:pos="1440"/>
          <w:tab w:val="left" w:pos="2160"/>
          <w:tab w:val="left" w:pos="2880"/>
          <w:tab w:val="left" w:pos="3600"/>
        </w:tabs>
        <w:ind w:left="4320" w:hanging="4320"/>
        <w:rPr>
          <w:rFonts w:ascii="Times New Roman" w:hAnsi="Times New Roman" w:cs="Times New Roman"/>
          <w:sz w:val="24"/>
          <w:szCs w:val="24"/>
        </w:rPr>
      </w:pPr>
    </w:p>
    <w:sectPr w:rsidR="00FC289A" w:rsidRPr="0030131E" w:rsidSect="00843BF0">
      <w:head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82" w:rsidRDefault="00293482" w:rsidP="00966B1B">
      <w:r>
        <w:separator/>
      </w:r>
    </w:p>
  </w:endnote>
  <w:endnote w:type="continuationSeparator" w:id="0">
    <w:p w:rsidR="00293482" w:rsidRDefault="00293482"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82" w:rsidRDefault="00293482" w:rsidP="00966B1B">
      <w:r>
        <w:separator/>
      </w:r>
    </w:p>
  </w:footnote>
  <w:footnote w:type="continuationSeparator" w:id="0">
    <w:p w:rsidR="00293482" w:rsidRDefault="00293482" w:rsidP="009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36" w:rsidRDefault="00FF403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BA" w:rsidRDefault="00B20645">
    <w:pPr>
      <w:pStyle w:val="Header"/>
    </w:pPr>
    <w:r>
      <w:rPr>
        <w:noProof/>
      </w:rPr>
      <w:drawing>
        <wp:anchor distT="0" distB="0" distL="114300" distR="114300" simplePos="0" relativeHeight="251660288" behindDoc="0" locked="0" layoutInCell="1" allowOverlap="1" wp14:anchorId="18F90991" wp14:editId="24F0D060">
          <wp:simplePos x="0" y="0"/>
          <wp:positionH relativeFrom="margin">
            <wp:align>left</wp:align>
          </wp:positionH>
          <wp:positionV relativeFrom="paragraph">
            <wp:posOffset>106045</wp:posOffset>
          </wp:positionV>
          <wp:extent cx="2203704" cy="10515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1051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60883" wp14:editId="34D1678D">
          <wp:simplePos x="0" y="0"/>
          <wp:positionH relativeFrom="margin">
            <wp:align>right</wp:align>
          </wp:positionH>
          <wp:positionV relativeFrom="paragraph">
            <wp:posOffset>10795</wp:posOffset>
          </wp:positionV>
          <wp:extent cx="1499616" cy="10515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961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BA" w:rsidRDefault="00F82ABA" w:rsidP="00B20645">
    <w:pPr>
      <w:pStyle w:val="Header"/>
      <w:ind w:firstLine="720"/>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B20645" w:rsidRDefault="00B2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2EA"/>
    <w:multiLevelType w:val="hybridMultilevel"/>
    <w:tmpl w:val="2A8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0C7E"/>
    <w:multiLevelType w:val="hybridMultilevel"/>
    <w:tmpl w:val="5D2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D0441"/>
    <w:multiLevelType w:val="hybridMultilevel"/>
    <w:tmpl w:val="D5F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22468"/>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34CCC"/>
    <w:multiLevelType w:val="hybridMultilevel"/>
    <w:tmpl w:val="DA7E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1700C"/>
    <w:multiLevelType w:val="hybridMultilevel"/>
    <w:tmpl w:val="7A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B7B65"/>
    <w:multiLevelType w:val="hybridMultilevel"/>
    <w:tmpl w:val="48729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9">
    <w:nsid w:val="607F343F"/>
    <w:multiLevelType w:val="hybridMultilevel"/>
    <w:tmpl w:val="4A8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87666"/>
    <w:multiLevelType w:val="hybridMultilevel"/>
    <w:tmpl w:val="F2F2C232"/>
    <w:lvl w:ilvl="0" w:tplc="9A86AFCC">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E2376FA"/>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52D92"/>
    <w:multiLevelType w:val="hybridMultilevel"/>
    <w:tmpl w:val="DB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F4695"/>
    <w:multiLevelType w:val="hybridMultilevel"/>
    <w:tmpl w:val="97E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8"/>
  </w:num>
  <w:num w:numId="2">
    <w:abstractNumId w:val="1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3"/>
  </w:num>
  <w:num w:numId="9">
    <w:abstractNumId w:val="12"/>
  </w:num>
  <w:num w:numId="10">
    <w:abstractNumId w:val="4"/>
  </w:num>
  <w:num w:numId="11">
    <w:abstractNumId w:val="0"/>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0A82"/>
    <w:rsid w:val="00043165"/>
    <w:rsid w:val="000851F5"/>
    <w:rsid w:val="00093727"/>
    <w:rsid w:val="001013CF"/>
    <w:rsid w:val="00104B1D"/>
    <w:rsid w:val="00113406"/>
    <w:rsid w:val="001443A9"/>
    <w:rsid w:val="0029244E"/>
    <w:rsid w:val="00293482"/>
    <w:rsid w:val="002E3174"/>
    <w:rsid w:val="0030131E"/>
    <w:rsid w:val="00387748"/>
    <w:rsid w:val="0043287A"/>
    <w:rsid w:val="004D779F"/>
    <w:rsid w:val="00500E31"/>
    <w:rsid w:val="005031B6"/>
    <w:rsid w:val="00505BF1"/>
    <w:rsid w:val="005B7686"/>
    <w:rsid w:val="006418A6"/>
    <w:rsid w:val="00772960"/>
    <w:rsid w:val="00843BF0"/>
    <w:rsid w:val="00847DD6"/>
    <w:rsid w:val="00863880"/>
    <w:rsid w:val="008777F6"/>
    <w:rsid w:val="008B0FA1"/>
    <w:rsid w:val="00966B1B"/>
    <w:rsid w:val="009F31DA"/>
    <w:rsid w:val="009F76C9"/>
    <w:rsid w:val="00A056DE"/>
    <w:rsid w:val="00B20645"/>
    <w:rsid w:val="00BE648D"/>
    <w:rsid w:val="00C763EC"/>
    <w:rsid w:val="00CA38E0"/>
    <w:rsid w:val="00DC24D3"/>
    <w:rsid w:val="00F175A9"/>
    <w:rsid w:val="00F5532C"/>
    <w:rsid w:val="00F82ABA"/>
    <w:rsid w:val="00FB5F93"/>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 w:type="paragraph" w:styleId="NoSpacing">
    <w:name w:val="No Spacing"/>
    <w:uiPriority w:val="1"/>
    <w:qFormat/>
    <w:rsid w:val="008B0FA1"/>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4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A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agnostis@greenville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od@upstateworkforceboar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19EE-924E-48B9-9E8A-12C17ABE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Eva Anagnostis</cp:lastModifiedBy>
  <cp:revision>14</cp:revision>
  <cp:lastPrinted>2017-06-21T21:28:00Z</cp:lastPrinted>
  <dcterms:created xsi:type="dcterms:W3CDTF">2017-06-15T18:14:00Z</dcterms:created>
  <dcterms:modified xsi:type="dcterms:W3CDTF">2017-06-29T15:10:00Z</dcterms:modified>
</cp:coreProperties>
</file>